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6F" w:rsidRPr="000A3E56" w:rsidRDefault="00B75E6F" w:rsidP="00B75E6F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0A3E56">
        <w:rPr>
          <w:rFonts w:ascii="Times New Roman" w:hAnsi="Times New Roman"/>
          <w:szCs w:val="24"/>
          <w:lang w:val="lv-LV"/>
        </w:rPr>
        <w:t>Pielikums nr.</w:t>
      </w:r>
      <w:r w:rsidR="00F710FC">
        <w:rPr>
          <w:rFonts w:ascii="Times New Roman" w:hAnsi="Times New Roman"/>
          <w:szCs w:val="24"/>
          <w:lang w:val="lv-LV"/>
        </w:rPr>
        <w:t>1</w:t>
      </w:r>
    </w:p>
    <w:p w:rsidR="00B75E6F" w:rsidRPr="000A3E56" w:rsidRDefault="00B75E6F" w:rsidP="00B75E6F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0A3E56">
        <w:rPr>
          <w:rFonts w:ascii="Times New Roman" w:hAnsi="Times New Roman"/>
          <w:szCs w:val="24"/>
          <w:lang w:val="lv-LV"/>
        </w:rPr>
        <w:t>Iepirkuma procedūras</w:t>
      </w:r>
    </w:p>
    <w:p w:rsidR="00B75E6F" w:rsidRPr="000A3E56" w:rsidRDefault="00B75E6F" w:rsidP="00B75E6F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0A3E56">
        <w:rPr>
          <w:rFonts w:ascii="Times New Roman" w:hAnsi="Times New Roman"/>
          <w:szCs w:val="24"/>
          <w:lang w:val="lv-LV"/>
        </w:rPr>
        <w:t xml:space="preserve">“ Derīgo izrakteņu atlikušo krājumu aprēķināšana atradnēm </w:t>
      </w:r>
    </w:p>
    <w:p w:rsidR="00B75E6F" w:rsidRPr="000A3E56" w:rsidRDefault="00B75E6F" w:rsidP="00B75E6F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0A3E56">
        <w:rPr>
          <w:rFonts w:ascii="Times New Roman" w:hAnsi="Times New Roman"/>
          <w:szCs w:val="24"/>
          <w:lang w:val="lv-LV"/>
        </w:rPr>
        <w:t>“Aizsils” un “</w:t>
      </w:r>
      <w:proofErr w:type="spellStart"/>
      <w:r w:rsidRPr="000A3E56">
        <w:rPr>
          <w:rFonts w:ascii="Times New Roman" w:hAnsi="Times New Roman"/>
          <w:szCs w:val="24"/>
          <w:lang w:val="lv-LV"/>
        </w:rPr>
        <w:t>Minerālšķūnis</w:t>
      </w:r>
      <w:proofErr w:type="spellEnd"/>
      <w:r w:rsidRPr="000A3E56">
        <w:rPr>
          <w:rFonts w:ascii="Times New Roman" w:hAnsi="Times New Roman"/>
          <w:szCs w:val="24"/>
          <w:lang w:val="lv-LV"/>
        </w:rPr>
        <w:t xml:space="preserve"> II</w:t>
      </w:r>
      <w:r w:rsidR="00A50FA5" w:rsidRPr="000A3E56">
        <w:rPr>
          <w:rFonts w:ascii="Times New Roman" w:hAnsi="Times New Roman"/>
          <w:szCs w:val="24"/>
          <w:lang w:val="lv-LV"/>
        </w:rPr>
        <w:t xml:space="preserve"> </w:t>
      </w:r>
      <w:r w:rsidRPr="000A3E56">
        <w:rPr>
          <w:rFonts w:ascii="Times New Roman" w:hAnsi="Times New Roman"/>
          <w:szCs w:val="24"/>
          <w:lang w:val="lv-LV"/>
        </w:rPr>
        <w:t xml:space="preserve">” </w:t>
      </w:r>
    </w:p>
    <w:p w:rsidR="00B75E6F" w:rsidRPr="000A3E56" w:rsidRDefault="00B75E6F" w:rsidP="00B75E6F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0A3E56">
        <w:rPr>
          <w:rFonts w:ascii="Times New Roman" w:hAnsi="Times New Roman"/>
          <w:szCs w:val="24"/>
          <w:lang w:val="lv-LV"/>
        </w:rPr>
        <w:t>identifikācijas Nr. CND 2017/1</w:t>
      </w:r>
      <w:r w:rsidR="00B6438B">
        <w:rPr>
          <w:rFonts w:ascii="Times New Roman" w:hAnsi="Times New Roman"/>
          <w:szCs w:val="24"/>
          <w:lang w:val="lv-LV"/>
        </w:rPr>
        <w:t>1</w:t>
      </w:r>
      <w:bookmarkStart w:id="0" w:name="_GoBack"/>
      <w:bookmarkEnd w:id="0"/>
      <w:r w:rsidRPr="000A3E56">
        <w:rPr>
          <w:rFonts w:ascii="Times New Roman" w:hAnsi="Times New Roman"/>
          <w:szCs w:val="24"/>
          <w:lang w:val="lv-LV"/>
        </w:rPr>
        <w:t xml:space="preserve"> </w:t>
      </w:r>
    </w:p>
    <w:p w:rsidR="00B75E6F" w:rsidRPr="000A3E56" w:rsidRDefault="00B75E6F" w:rsidP="00B75E6F">
      <w:pPr>
        <w:jc w:val="right"/>
        <w:rPr>
          <w:b/>
        </w:rPr>
      </w:pPr>
      <w:r w:rsidRPr="000A3E56">
        <w:t>nolikumam</w:t>
      </w:r>
    </w:p>
    <w:p w:rsidR="00004056" w:rsidRPr="000A3E56" w:rsidRDefault="00004056" w:rsidP="00004056">
      <w:pPr>
        <w:jc w:val="center"/>
        <w:rPr>
          <w:b/>
        </w:rPr>
      </w:pPr>
      <w:r w:rsidRPr="000A3E56">
        <w:rPr>
          <w:b/>
        </w:rPr>
        <w:t>TEHNISKĀ SPECIFIKĀCIJA</w:t>
      </w:r>
    </w:p>
    <w:p w:rsidR="00B75E6F" w:rsidRPr="000A3E56" w:rsidRDefault="00B75E6F" w:rsidP="00B75E6F">
      <w:pPr>
        <w:pStyle w:val="Pamatteksts"/>
        <w:spacing w:after="0"/>
        <w:jc w:val="center"/>
        <w:rPr>
          <w:rFonts w:ascii="Times New Roman" w:hAnsi="Times New Roman"/>
          <w:szCs w:val="24"/>
          <w:lang w:val="lv-LV"/>
        </w:rPr>
      </w:pPr>
      <w:r w:rsidRPr="000A3E56">
        <w:rPr>
          <w:rFonts w:ascii="Times New Roman" w:hAnsi="Times New Roman"/>
          <w:szCs w:val="24"/>
          <w:lang w:val="lv-LV"/>
        </w:rPr>
        <w:t>“ Derīgo izrakteņu atlikušo krājumu aprēķināšana atradnēm</w:t>
      </w:r>
    </w:p>
    <w:p w:rsidR="00B75E6F" w:rsidRPr="000A3E56" w:rsidRDefault="00B75E6F" w:rsidP="00B75E6F">
      <w:pPr>
        <w:pStyle w:val="Pamatteksts"/>
        <w:spacing w:after="0"/>
        <w:jc w:val="center"/>
        <w:rPr>
          <w:rFonts w:ascii="Times New Roman" w:hAnsi="Times New Roman"/>
          <w:szCs w:val="24"/>
          <w:lang w:val="lv-LV"/>
        </w:rPr>
      </w:pPr>
      <w:r w:rsidRPr="000A3E56">
        <w:rPr>
          <w:rFonts w:ascii="Times New Roman" w:hAnsi="Times New Roman"/>
          <w:szCs w:val="24"/>
          <w:lang w:val="lv-LV"/>
        </w:rPr>
        <w:t>“Aizsils” un “</w:t>
      </w:r>
      <w:proofErr w:type="spellStart"/>
      <w:r w:rsidRPr="000A3E56">
        <w:rPr>
          <w:rFonts w:ascii="Times New Roman" w:hAnsi="Times New Roman"/>
          <w:szCs w:val="24"/>
          <w:lang w:val="lv-LV"/>
        </w:rPr>
        <w:t>Minerālšķūnis</w:t>
      </w:r>
      <w:proofErr w:type="spellEnd"/>
      <w:r w:rsidRPr="000A3E56">
        <w:rPr>
          <w:rFonts w:ascii="Times New Roman" w:hAnsi="Times New Roman"/>
          <w:szCs w:val="24"/>
          <w:lang w:val="lv-LV"/>
        </w:rPr>
        <w:t xml:space="preserve"> II”</w:t>
      </w:r>
    </w:p>
    <w:p w:rsidR="00004056" w:rsidRPr="000A3E56" w:rsidRDefault="00B75E6F" w:rsidP="00B75E6F">
      <w:pPr>
        <w:widowControl w:val="0"/>
        <w:jc w:val="center"/>
      </w:pPr>
      <w:r w:rsidRPr="000A3E56">
        <w:t>identifikācijas Nr. CND 2017/1</w:t>
      </w:r>
      <w:r w:rsidR="00F710FC">
        <w:t>1</w:t>
      </w:r>
    </w:p>
    <w:p w:rsidR="00B75E6F" w:rsidRPr="000A3E56" w:rsidRDefault="00B75E6F" w:rsidP="00004056">
      <w:pPr>
        <w:widowControl w:val="0"/>
        <w:rPr>
          <w:b/>
          <w:bCs/>
        </w:rPr>
      </w:pPr>
    </w:p>
    <w:p w:rsidR="00004056" w:rsidRPr="000A3E56" w:rsidRDefault="00004056" w:rsidP="00004056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0A3E56">
        <w:rPr>
          <w:b/>
          <w:color w:val="000000"/>
        </w:rPr>
        <w:t xml:space="preserve">Līguma </w:t>
      </w:r>
      <w:r w:rsidRPr="000A3E56">
        <w:rPr>
          <w:b/>
        </w:rPr>
        <w:t>priekšmets:</w:t>
      </w:r>
    </w:p>
    <w:p w:rsidR="00B75E6F" w:rsidRPr="000A3E56" w:rsidRDefault="00B75E6F" w:rsidP="00B75E6F">
      <w:pPr>
        <w:widowControl w:val="0"/>
        <w:tabs>
          <w:tab w:val="left" w:pos="360"/>
        </w:tabs>
        <w:jc w:val="both"/>
      </w:pPr>
    </w:p>
    <w:p w:rsidR="00004056" w:rsidRPr="000A3E56" w:rsidRDefault="0071764F" w:rsidP="00B75E6F">
      <w:pPr>
        <w:widowControl w:val="0"/>
        <w:tabs>
          <w:tab w:val="left" w:pos="360"/>
        </w:tabs>
        <w:jc w:val="both"/>
      </w:pPr>
      <w:r w:rsidRPr="000A3E56">
        <w:t>D</w:t>
      </w:r>
      <w:r w:rsidR="00004056" w:rsidRPr="000A3E56">
        <w:t>erīgo izrakteņu atlikušo krājumu aprēķināšana</w:t>
      </w:r>
      <w:r w:rsidRPr="000A3E56">
        <w:t xml:space="preserve"> (t.sk. topogrāfiskās uzmērīšanas veikšana) </w:t>
      </w:r>
      <w:r w:rsidR="00004056" w:rsidRPr="000A3E56">
        <w:t xml:space="preserve">izmantojot </w:t>
      </w:r>
      <w:r w:rsidR="00B75E6F" w:rsidRPr="000A3E56">
        <w:t>Pasūtītāja rīcībā esošos datus un informāciju</w:t>
      </w:r>
      <w:r w:rsidR="008F54E6">
        <w:t>,</w:t>
      </w:r>
      <w:r w:rsidR="00B75E6F" w:rsidRPr="000A3E56">
        <w:t xml:space="preserve"> </w:t>
      </w:r>
      <w:r w:rsidR="00641446">
        <w:t>un</w:t>
      </w:r>
      <w:r w:rsidR="00004056" w:rsidRPr="000A3E56">
        <w:t xml:space="preserve"> </w:t>
      </w:r>
      <w:r w:rsidR="00641446" w:rsidRPr="00592689">
        <w:t xml:space="preserve">atlikušo krājumu aprēķina pārskata </w:t>
      </w:r>
      <w:r w:rsidR="00641446">
        <w:t xml:space="preserve">sagatavošana un </w:t>
      </w:r>
      <w:r w:rsidR="00641446" w:rsidRPr="00592689">
        <w:t>akceptēšana Latvijas vides, ģeoloģijas un meteoroloģijas centrā (LVMĢC)</w:t>
      </w:r>
      <w:r w:rsidR="008F54E6">
        <w:t xml:space="preserve"> </w:t>
      </w:r>
      <w:r w:rsidRPr="000A3E56">
        <w:t xml:space="preserve">sekojošās </w:t>
      </w:r>
      <w:r w:rsidR="00004056" w:rsidRPr="000A3E56">
        <w:t>atradnēs:</w:t>
      </w:r>
    </w:p>
    <w:p w:rsidR="00004056" w:rsidRPr="000A3E56" w:rsidRDefault="00004056" w:rsidP="00004056">
      <w:pPr>
        <w:widowControl w:val="0"/>
        <w:numPr>
          <w:ilvl w:val="1"/>
          <w:numId w:val="4"/>
        </w:numPr>
        <w:tabs>
          <w:tab w:val="clear" w:pos="1080"/>
          <w:tab w:val="num" w:pos="1134"/>
        </w:tabs>
        <w:ind w:left="1134"/>
        <w:jc w:val="both"/>
      </w:pPr>
      <w:r w:rsidRPr="000A3E56">
        <w:t>Smilts atradne</w:t>
      </w:r>
      <w:r w:rsidRPr="000A3E56">
        <w:rPr>
          <w:color w:val="0070C0"/>
        </w:rPr>
        <w:t xml:space="preserve"> </w:t>
      </w:r>
      <w:r w:rsidRPr="000A3E56">
        <w:t>„</w:t>
      </w:r>
      <w:r w:rsidR="00B75E6F" w:rsidRPr="000A3E56">
        <w:t>Aizsils”, Cesvaines pagasts, Cesvaines novads,</w:t>
      </w:r>
      <w:r w:rsidRPr="000A3E56">
        <w:t xml:space="preserve"> kadastra nr. </w:t>
      </w:r>
      <w:r w:rsidR="00B75E6F" w:rsidRPr="000A3E56">
        <w:t>70270030024</w:t>
      </w:r>
    </w:p>
    <w:p w:rsidR="00004056" w:rsidRPr="000A3E56" w:rsidRDefault="00004056" w:rsidP="00004056">
      <w:pPr>
        <w:widowControl w:val="0"/>
        <w:numPr>
          <w:ilvl w:val="1"/>
          <w:numId w:val="4"/>
        </w:numPr>
        <w:tabs>
          <w:tab w:val="clear" w:pos="1080"/>
          <w:tab w:val="num" w:pos="1134"/>
        </w:tabs>
        <w:ind w:left="1134"/>
        <w:jc w:val="both"/>
      </w:pPr>
      <w:r w:rsidRPr="000A3E56">
        <w:t>Smilts-grants atradne</w:t>
      </w:r>
      <w:r w:rsidRPr="000A3E56">
        <w:rPr>
          <w:color w:val="0070C0"/>
        </w:rPr>
        <w:t xml:space="preserve"> </w:t>
      </w:r>
      <w:r w:rsidR="00B75E6F" w:rsidRPr="000A3E56">
        <w:t>“</w:t>
      </w:r>
      <w:proofErr w:type="spellStart"/>
      <w:r w:rsidR="00B75E6F" w:rsidRPr="000A3E56">
        <w:t>Minerālšķūnis</w:t>
      </w:r>
      <w:proofErr w:type="spellEnd"/>
      <w:r w:rsidR="00B75E6F" w:rsidRPr="000A3E56">
        <w:t xml:space="preserve"> II”, Cesvaines pagasts, Cesvaines</w:t>
      </w:r>
      <w:proofErr w:type="gramStart"/>
      <w:r w:rsidR="00B75E6F" w:rsidRPr="000A3E56">
        <w:t xml:space="preserve"> </w:t>
      </w:r>
      <w:r w:rsidRPr="000A3E56">
        <w:t xml:space="preserve"> </w:t>
      </w:r>
      <w:proofErr w:type="gramEnd"/>
      <w:r w:rsidRPr="000A3E56">
        <w:t xml:space="preserve">novads, kadastra nr. </w:t>
      </w:r>
      <w:r w:rsidR="00AD2C07" w:rsidRPr="000A3E56">
        <w:t>70270150091</w:t>
      </w:r>
    </w:p>
    <w:p w:rsidR="00004056" w:rsidRPr="000A3E56" w:rsidRDefault="00004056" w:rsidP="00004056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0A3E56">
        <w:rPr>
          <w:b/>
        </w:rPr>
        <w:t>Veicamie darbi:</w:t>
      </w:r>
    </w:p>
    <w:p w:rsidR="00004056" w:rsidRPr="000A3E56" w:rsidRDefault="00004056" w:rsidP="00004056">
      <w:pPr>
        <w:numPr>
          <w:ilvl w:val="1"/>
          <w:numId w:val="3"/>
        </w:numPr>
        <w:jc w:val="both"/>
      </w:pPr>
      <w:r w:rsidRPr="000A3E56">
        <w:t>Topogrāfiskā uzmērīšanas veikšana;</w:t>
      </w:r>
    </w:p>
    <w:p w:rsidR="00004056" w:rsidRPr="000A3E56" w:rsidRDefault="00004056" w:rsidP="00004056">
      <w:pPr>
        <w:numPr>
          <w:ilvl w:val="1"/>
          <w:numId w:val="3"/>
        </w:numPr>
        <w:jc w:val="both"/>
      </w:pPr>
      <w:r w:rsidRPr="000A3E56">
        <w:t>Topogrāfisko plānu sagatavošana;</w:t>
      </w:r>
    </w:p>
    <w:p w:rsidR="00AD2C07" w:rsidRPr="000A3E56" w:rsidRDefault="00004056" w:rsidP="00004056">
      <w:pPr>
        <w:numPr>
          <w:ilvl w:val="1"/>
          <w:numId w:val="3"/>
        </w:numPr>
        <w:jc w:val="both"/>
      </w:pPr>
      <w:r w:rsidRPr="000A3E56">
        <w:t xml:space="preserve">Atlikušo derīgo izrakteņu krājumu aprēķināšana, </w:t>
      </w:r>
      <w:r w:rsidR="00174C4F">
        <w:t>nepieciešamības gadījumā sākotnējo krājumu pārrēķināšana</w:t>
      </w:r>
    </w:p>
    <w:p w:rsidR="00004056" w:rsidRPr="000A3E56" w:rsidRDefault="00004056" w:rsidP="00004056">
      <w:pPr>
        <w:numPr>
          <w:ilvl w:val="1"/>
          <w:numId w:val="3"/>
        </w:numPr>
        <w:jc w:val="both"/>
      </w:pPr>
      <w:bookmarkStart w:id="1" w:name="_Hlk484503948"/>
      <w:r w:rsidRPr="000A3E56">
        <w:t>Atlikušo derīgo izrakteņu krājumu aprēķina pārskata sagatavošana un krājumu akceptēšana Latvijas vides, ģeoloģijas un meteoroloģijas centrā (LVMĢC)</w:t>
      </w:r>
      <w:bookmarkEnd w:id="1"/>
      <w:r w:rsidRPr="000A3E56">
        <w:t>;</w:t>
      </w:r>
    </w:p>
    <w:p w:rsidR="006F50E9" w:rsidRDefault="00004056" w:rsidP="006F50E9">
      <w:pPr>
        <w:widowControl w:val="0"/>
        <w:numPr>
          <w:ilvl w:val="1"/>
          <w:numId w:val="3"/>
        </w:numPr>
        <w:jc w:val="both"/>
      </w:pPr>
      <w:r w:rsidRPr="000A3E56">
        <w:t>Nodevumu sagatavošana.</w:t>
      </w:r>
      <w:r w:rsidR="006F50E9" w:rsidRPr="006F50E9">
        <w:t xml:space="preserve"> </w:t>
      </w:r>
    </w:p>
    <w:p w:rsidR="00004056" w:rsidRPr="000A3E56" w:rsidRDefault="006F50E9" w:rsidP="006F50E9">
      <w:pPr>
        <w:widowControl w:val="0"/>
        <w:numPr>
          <w:ilvl w:val="1"/>
          <w:numId w:val="3"/>
        </w:numPr>
        <w:jc w:val="both"/>
      </w:pPr>
      <w:r w:rsidRPr="000A3E56">
        <w:t>Sakarā ar to, ka derīgo izrakteņu atradnēm “Aizsils” un “</w:t>
      </w:r>
      <w:proofErr w:type="spellStart"/>
      <w:r w:rsidRPr="000A3E56">
        <w:t>Minerālšķūnis</w:t>
      </w:r>
      <w:proofErr w:type="spellEnd"/>
      <w:r w:rsidRPr="000A3E56">
        <w:t xml:space="preserve"> II” netiek plānots </w:t>
      </w:r>
      <w:r>
        <w:t>palielināt laukumu un dziļumu, ģeoloģisko izpēte nav jāveic.</w:t>
      </w:r>
    </w:p>
    <w:p w:rsidR="00004056" w:rsidRPr="000A3E56" w:rsidRDefault="00004056" w:rsidP="00004056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0A3E56">
        <w:rPr>
          <w:b/>
        </w:rPr>
        <w:t xml:space="preserve">Izpildes termiņš: </w:t>
      </w:r>
      <w:r w:rsidR="00F710FC">
        <w:rPr>
          <w:b/>
        </w:rPr>
        <w:t>4 (četri) kalendārie mēneši</w:t>
      </w:r>
      <w:r w:rsidR="00AD2C07" w:rsidRPr="000A3E56">
        <w:rPr>
          <w:b/>
        </w:rPr>
        <w:t xml:space="preserve"> pēc līguma stāšanās </w:t>
      </w:r>
      <w:r w:rsidR="00A50FA5" w:rsidRPr="000A3E56">
        <w:rPr>
          <w:b/>
        </w:rPr>
        <w:t>s</w:t>
      </w:r>
      <w:r w:rsidR="00AD2C07" w:rsidRPr="000A3E56">
        <w:rPr>
          <w:b/>
        </w:rPr>
        <w:t>pēkā</w:t>
      </w:r>
    </w:p>
    <w:p w:rsidR="00004056" w:rsidRPr="000A3E56" w:rsidRDefault="00004056" w:rsidP="00004056">
      <w:pPr>
        <w:widowControl w:val="0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b/>
        </w:rPr>
      </w:pPr>
      <w:bookmarkStart w:id="2" w:name="OLE_LINK2"/>
      <w:r w:rsidRPr="000A3E56">
        <w:rPr>
          <w:b/>
        </w:rPr>
        <w:t>Prasības topogrāfiskās uzmērīšanas veikšanai:</w:t>
      </w:r>
    </w:p>
    <w:p w:rsidR="00004056" w:rsidRPr="000A3E56" w:rsidRDefault="00004056" w:rsidP="00A9270D">
      <w:pPr>
        <w:pStyle w:val="Sarakstarindkopa"/>
        <w:widowControl w:val="0"/>
        <w:numPr>
          <w:ilvl w:val="1"/>
          <w:numId w:val="1"/>
        </w:numPr>
        <w:ind w:firstLine="277"/>
        <w:jc w:val="both"/>
      </w:pPr>
      <w:r w:rsidRPr="000A3E56">
        <w:t>Topogrāfiskā uzmērīšana jāveic tehniskās specifikācijas grafiskajā pielikumā norādītajā teritorijā;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</w:pPr>
      <w:r w:rsidRPr="000A3E56">
        <w:t>Topogrāfiskā uzmērīšana un topogrāfiskā plāna sastādīšana jāveic atbilstoši 2012. gada 24. aprīļa MK noteikumiem Nr. 281 „Augstas detalizācijas topogrāfiskās informācijas un tās centrālās datu bāzes noteikumi” prasībām;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</w:pPr>
      <w:r w:rsidRPr="000A3E56">
        <w:t>topogrāfiskais plāns jāuzmēra mērogā 1:500;</w:t>
      </w:r>
      <w:r w:rsidRPr="000A3E56">
        <w:rPr>
          <w:color w:val="1F497D"/>
        </w:rPr>
        <w:t xml:space="preserve"> 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</w:pPr>
      <w:r w:rsidRPr="000A3E56">
        <w:t>objektu attēlošana plānā jāveic atbilstoši Latvijas koordinātu sistēmai LKS-92. Augstuma dati plānā norādāmi Latvijas augstumu sistēmā LAS 2000,5;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</w:pPr>
      <w:r w:rsidRPr="000A3E56">
        <w:t>topogrāfiskā uzmērīšana izdarāma ar pārbaudītiem ģeodēziskiem instrumentiem un atbilstošām metodēm;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</w:pPr>
      <w:r w:rsidRPr="000A3E56">
        <w:t>mērniecības darbu izpildītājs ir atbildīgs par topogrāfiskajā plānā attēlotās virszemes situācijas atbilstību apvidum un pazemes inženierkomunikāciju informācijas atbilstību attiecīgo pazemes inženierkomunikāciju ekspluatējošo organizāciju izsniegtajiem un saskaņotajiem datiem;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</w:pPr>
      <w:r w:rsidRPr="000A3E56">
        <w:t>Topogrāfiskās uzmērīšanas rezultāts ir:</w:t>
      </w:r>
    </w:p>
    <w:p w:rsidR="00004056" w:rsidRPr="000A3E56" w:rsidRDefault="00004056" w:rsidP="00A9270D">
      <w:pPr>
        <w:widowControl w:val="0"/>
        <w:numPr>
          <w:ilvl w:val="2"/>
          <w:numId w:val="1"/>
        </w:numPr>
        <w:tabs>
          <w:tab w:val="left" w:pos="900"/>
        </w:tabs>
        <w:ind w:left="1440" w:right="-180" w:hanging="720"/>
        <w:jc w:val="both"/>
      </w:pPr>
      <w:r w:rsidRPr="000A3E56">
        <w:t xml:space="preserve">atbilstoši dotajai specifikācijai izgatavota topogrāfiskā plāna </w:t>
      </w:r>
      <w:proofErr w:type="spellStart"/>
      <w:r w:rsidRPr="000A3E56">
        <w:t>oriģin</w:t>
      </w:r>
      <w:r w:rsidR="00CA4742">
        <w:t>āl</w:t>
      </w:r>
      <w:r w:rsidRPr="000A3E56">
        <w:t>izdruka</w:t>
      </w:r>
      <w:proofErr w:type="spellEnd"/>
      <w:r w:rsidRPr="000A3E56">
        <w:t xml:space="preserve"> M 1:500, kas var tikt apvienota ar krājumu aprēķina plānu un ietverta pārskatā, kā arī digitālā topogrāfiskā plāna ieraksts uz elektroniskā datu nesēja *.</w:t>
      </w:r>
      <w:proofErr w:type="spellStart"/>
      <w:r w:rsidRPr="000A3E56">
        <w:t>dwg</w:t>
      </w:r>
      <w:proofErr w:type="spellEnd"/>
      <w:r w:rsidRPr="000A3E56">
        <w:t>, *.</w:t>
      </w:r>
      <w:proofErr w:type="spellStart"/>
      <w:r w:rsidRPr="000A3E56">
        <w:t>dgn</w:t>
      </w:r>
      <w:proofErr w:type="spellEnd"/>
      <w:r w:rsidRPr="000A3E56">
        <w:t xml:space="preserve"> un *.</w:t>
      </w:r>
      <w:proofErr w:type="spellStart"/>
      <w:r w:rsidRPr="000A3E56">
        <w:t>pdf</w:t>
      </w:r>
      <w:proofErr w:type="spellEnd"/>
      <w:r w:rsidRPr="000A3E56">
        <w:t xml:space="preserve"> formātā ar:</w:t>
      </w:r>
    </w:p>
    <w:p w:rsidR="00004056" w:rsidRPr="000A3E56" w:rsidRDefault="00004056" w:rsidP="00A9270D">
      <w:pPr>
        <w:widowControl w:val="0"/>
        <w:numPr>
          <w:ilvl w:val="3"/>
          <w:numId w:val="1"/>
        </w:numPr>
        <w:tabs>
          <w:tab w:val="left" w:pos="900"/>
        </w:tabs>
        <w:ind w:left="1800" w:right="-180" w:hanging="720"/>
        <w:jc w:val="both"/>
      </w:pPr>
      <w:r w:rsidRPr="000A3E56">
        <w:lastRenderedPageBreak/>
        <w:t>zemes vienību robežām, kas atbilst kadastrs.lv aktuālajiem datiem;</w:t>
      </w:r>
    </w:p>
    <w:p w:rsidR="00004056" w:rsidRPr="000A3E56" w:rsidRDefault="00004056" w:rsidP="00A9270D">
      <w:pPr>
        <w:widowControl w:val="0"/>
        <w:numPr>
          <w:ilvl w:val="3"/>
          <w:numId w:val="1"/>
        </w:numPr>
        <w:tabs>
          <w:tab w:val="left" w:pos="720"/>
        </w:tabs>
        <w:ind w:left="1800" w:right="-180" w:hanging="720"/>
        <w:jc w:val="both"/>
      </w:pPr>
      <w:r w:rsidRPr="000A3E56">
        <w:t>esošo pazemes vai virszemes inženierkomunikāciju īpašnieku (valdītāju) saskaņojumiem par topogrāfiskajā plānā norādītās attiecīgās inženierkomunikācijas informācijas atbilstību viņu rīcībā esošajai tehniskajai dokumentācijai;</w:t>
      </w:r>
    </w:p>
    <w:p w:rsidR="00004056" w:rsidRPr="000A3E56" w:rsidRDefault="00004056" w:rsidP="00A9270D">
      <w:pPr>
        <w:widowControl w:val="0"/>
        <w:numPr>
          <w:ilvl w:val="2"/>
          <w:numId w:val="1"/>
        </w:numPr>
        <w:tabs>
          <w:tab w:val="left" w:pos="720"/>
        </w:tabs>
        <w:ind w:right="-180"/>
        <w:jc w:val="both"/>
      </w:pPr>
      <w:r w:rsidRPr="000A3E56">
        <w:t>topogrāfiskās uzmērīšanas tehniskā lieta, kura obligāti satur sekojošu informāciju:</w:t>
      </w:r>
    </w:p>
    <w:p w:rsidR="00004056" w:rsidRPr="000A3E56" w:rsidRDefault="00004056" w:rsidP="00A9270D">
      <w:pPr>
        <w:widowControl w:val="0"/>
        <w:numPr>
          <w:ilvl w:val="3"/>
          <w:numId w:val="1"/>
        </w:numPr>
        <w:tabs>
          <w:tab w:val="left" w:pos="720"/>
        </w:tabs>
        <w:ind w:left="1800" w:right="-180" w:hanging="720"/>
        <w:jc w:val="both"/>
      </w:pPr>
      <w:r w:rsidRPr="000A3E56">
        <w:t>izmantoto mērinstrumentu atbilstību noteiktajiem standartiem (tajā skaitā apliecinājums par izmantotā mērinstrumenta pārbaudi);</w:t>
      </w:r>
    </w:p>
    <w:p w:rsidR="00004056" w:rsidRPr="000A3E56" w:rsidRDefault="00004056" w:rsidP="00A9270D">
      <w:pPr>
        <w:pStyle w:val="tv2131"/>
        <w:numPr>
          <w:ilvl w:val="3"/>
          <w:numId w:val="1"/>
        </w:numPr>
        <w:tabs>
          <w:tab w:val="left" w:pos="1701"/>
          <w:tab w:val="left" w:pos="184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A3E56">
        <w:rPr>
          <w:rFonts w:ascii="Times New Roman" w:hAnsi="Times New Roman"/>
          <w:sz w:val="24"/>
          <w:szCs w:val="24"/>
        </w:rPr>
        <w:t xml:space="preserve">Mērījumos izmantotās valsts ģeodēziskā atbalsta tīkla koordinātas ierīkotā uzmērījuma atbalsta tīkla punktu grafisko shēmu, ierīkoto punktu </w:t>
      </w:r>
      <w:proofErr w:type="spellStart"/>
      <w:r w:rsidRPr="000A3E56">
        <w:rPr>
          <w:rFonts w:ascii="Times New Roman" w:hAnsi="Times New Roman"/>
          <w:sz w:val="24"/>
          <w:szCs w:val="24"/>
        </w:rPr>
        <w:t>krokus</w:t>
      </w:r>
      <w:proofErr w:type="spellEnd"/>
      <w:r w:rsidRPr="000A3E56">
        <w:rPr>
          <w:rFonts w:ascii="Times New Roman" w:hAnsi="Times New Roman"/>
          <w:sz w:val="24"/>
          <w:szCs w:val="24"/>
        </w:rPr>
        <w:t>;</w:t>
      </w:r>
    </w:p>
    <w:p w:rsidR="00004056" w:rsidRPr="000A3E56" w:rsidRDefault="00004056" w:rsidP="00A9270D">
      <w:pPr>
        <w:pStyle w:val="tv2131"/>
        <w:numPr>
          <w:ilvl w:val="3"/>
          <w:numId w:val="1"/>
        </w:numPr>
        <w:tabs>
          <w:tab w:val="left" w:pos="1701"/>
          <w:tab w:val="left" w:pos="184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A3E56">
        <w:rPr>
          <w:rFonts w:ascii="Times New Roman" w:hAnsi="Times New Roman"/>
          <w:sz w:val="24"/>
          <w:szCs w:val="24"/>
        </w:rPr>
        <w:t xml:space="preserve">citi </w:t>
      </w:r>
      <w:proofErr w:type="gramStart"/>
      <w:r w:rsidRPr="000A3E56">
        <w:rPr>
          <w:rFonts w:ascii="Times New Roman" w:hAnsi="Times New Roman"/>
          <w:sz w:val="24"/>
          <w:szCs w:val="24"/>
        </w:rPr>
        <w:t>uz pasūtījumu</w:t>
      </w:r>
      <w:proofErr w:type="gramEnd"/>
      <w:r w:rsidRPr="000A3E56">
        <w:rPr>
          <w:rFonts w:ascii="Times New Roman" w:hAnsi="Times New Roman"/>
          <w:sz w:val="24"/>
          <w:szCs w:val="24"/>
        </w:rPr>
        <w:t xml:space="preserve"> attiecināmi materiāli (piemēram grafiskie pielikumi, </w:t>
      </w:r>
      <w:proofErr w:type="spellStart"/>
      <w:r w:rsidRPr="000A3E56">
        <w:rPr>
          <w:rFonts w:ascii="Times New Roman" w:hAnsi="Times New Roman"/>
          <w:sz w:val="24"/>
          <w:szCs w:val="24"/>
        </w:rPr>
        <w:t>abrisi</w:t>
      </w:r>
      <w:proofErr w:type="spellEnd"/>
      <w:r w:rsidRPr="000A3E56">
        <w:rPr>
          <w:rFonts w:ascii="Times New Roman" w:hAnsi="Times New Roman"/>
          <w:sz w:val="24"/>
          <w:szCs w:val="24"/>
        </w:rPr>
        <w:t>, shēmas u.c.).</w:t>
      </w:r>
    </w:p>
    <w:p w:rsidR="00004056" w:rsidRPr="000A3E56" w:rsidRDefault="00004056" w:rsidP="00A9270D">
      <w:pPr>
        <w:widowControl w:val="0"/>
        <w:numPr>
          <w:ilvl w:val="0"/>
          <w:numId w:val="1"/>
        </w:numPr>
        <w:ind w:left="357" w:hanging="357"/>
        <w:jc w:val="both"/>
        <w:rPr>
          <w:b/>
        </w:rPr>
      </w:pPr>
      <w:r w:rsidRPr="000A3E56">
        <w:rPr>
          <w:b/>
        </w:rPr>
        <w:t>Topogrāfiskā plāna saturs:</w:t>
      </w:r>
    </w:p>
    <w:p w:rsidR="00004056" w:rsidRPr="000A3E56" w:rsidRDefault="00004056" w:rsidP="00A50FA5">
      <w:pPr>
        <w:widowControl w:val="0"/>
        <w:ind w:left="426" w:right="-180"/>
        <w:jc w:val="both"/>
      </w:pPr>
      <w:r w:rsidRPr="000A3E56">
        <w:t>Topogrāfiskajam plānam jāatbilst 2012.</w:t>
      </w:r>
      <w:r w:rsidR="00A50FA5" w:rsidRPr="000A3E56">
        <w:t xml:space="preserve"> </w:t>
      </w:r>
      <w:r w:rsidRPr="000A3E56">
        <w:t>gada 24.aprīļa MK noteikumu Nr.281 „Augstas</w:t>
      </w:r>
      <w:proofErr w:type="gramStart"/>
      <w:r w:rsidRPr="000A3E56">
        <w:t xml:space="preserve">  </w:t>
      </w:r>
      <w:proofErr w:type="gramEnd"/>
      <w:r w:rsidRPr="000A3E56">
        <w:t xml:space="preserve">detalizācijas topogrāfiskās informācijas un tās centrālās datu bāzes noteikumi” prasībām, papildus  ietverot </w:t>
      </w:r>
      <w:r w:rsidR="007958DE" w:rsidRPr="000A3E56">
        <w:t xml:space="preserve">2012.gada 21.augusta </w:t>
      </w:r>
      <w:r w:rsidRPr="000A3E56">
        <w:t xml:space="preserve">MK noteikumu Nr.570 „Derīgo izrakteņu ieguves kārtība” 12. pielikumā noteikto informāciju, tajā skaitā: 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right="-180" w:hanging="425"/>
        <w:jc w:val="both"/>
      </w:pPr>
      <w:r w:rsidRPr="000A3E56">
        <w:t xml:space="preserve">dabā fiksētās zemes virsmas augstuma atzīmes visos </w:t>
      </w:r>
      <w:r w:rsidR="00AD2C07" w:rsidRPr="000A3E56">
        <w:t>raksturīgākajos reljefa punktos</w:t>
      </w:r>
      <w:r w:rsidRPr="000A3E56">
        <w:t xml:space="preserve"> (zemes virsmas augstuma atzīmes fiksējamas arī zem ūdens līmeņa);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right="-180" w:hanging="425"/>
        <w:jc w:val="both"/>
      </w:pPr>
      <w:r w:rsidRPr="000A3E56">
        <w:t xml:space="preserve">reljefa attēlojumu ar horizontālēm ik pēc </w:t>
      </w:r>
      <w:smartTag w:uri="urn:schemas-microsoft-com:office:smarttags" w:element="metricconverter">
        <w:smartTagPr>
          <w:attr w:name="ProductID" w:val="0,5 m"/>
        </w:smartTagPr>
        <w:r w:rsidRPr="000A3E56">
          <w:t>0,5 m</w:t>
        </w:r>
      </w:smartTag>
      <w:r w:rsidRPr="000A3E56">
        <w:t>, tajā skaitā zem ūdens līmeņa;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right="-180" w:hanging="425"/>
        <w:jc w:val="both"/>
      </w:pPr>
      <w:r w:rsidRPr="000A3E56">
        <w:t>dabā ierīkoto un nostiprināto zemes gabalu robežpunktus un to pieņemtos apzīmējumus pēc kadastra datiem un robežpunktu nostiprinājumu apzīmējumus (pēc robežu uzmērīšanas noteikumiem);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right="-180" w:hanging="425"/>
        <w:jc w:val="both"/>
      </w:pPr>
      <w:r w:rsidRPr="000A3E56">
        <w:t>topogrāfiski uzmērītās platības novietojuma shēmu zemes vienībā.</w:t>
      </w:r>
    </w:p>
    <w:bookmarkEnd w:id="2"/>
    <w:p w:rsidR="00004056" w:rsidRPr="000A3E56" w:rsidRDefault="00004056" w:rsidP="00A9270D">
      <w:pPr>
        <w:widowControl w:val="0"/>
        <w:numPr>
          <w:ilvl w:val="0"/>
          <w:numId w:val="1"/>
        </w:numPr>
        <w:jc w:val="both"/>
        <w:rPr>
          <w:b/>
        </w:rPr>
      </w:pPr>
      <w:r w:rsidRPr="000A3E56">
        <w:rPr>
          <w:b/>
        </w:rPr>
        <w:t>Prasības derīgo izrakteņu atlikušo krājumu aprēķināšanai (pārrēķināšana) un saskaņošanai: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  <w:rPr>
          <w:b/>
        </w:rPr>
      </w:pPr>
      <w:r w:rsidRPr="000A3E56">
        <w:t xml:space="preserve">derīgo izrakteņu atlikušo derīgo izrakteņu krājumu aprēķināšana (pārrēķināšana) un pārskata sagatavošana veicama atbilstoši </w:t>
      </w:r>
      <w:proofErr w:type="gramStart"/>
      <w:r w:rsidR="000A3E56" w:rsidRPr="000A3E56">
        <w:t>2012.gada</w:t>
      </w:r>
      <w:proofErr w:type="gramEnd"/>
      <w:r w:rsidR="000A3E56" w:rsidRPr="000A3E56">
        <w:t xml:space="preserve"> 21.augusta </w:t>
      </w:r>
      <w:r w:rsidRPr="000A3E56">
        <w:t>MK noteikumu Nr.570 „Derīgo izrakteņu ieguves kārtība” 12.pielikuma prasībām atradnes sākotnējās izpētes laukumā;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  <w:rPr>
          <w:b/>
        </w:rPr>
      </w:pPr>
      <w:r w:rsidRPr="000A3E56">
        <w:t>derīgo izrakteņu apjomu aprēķināšanā var izmantot tikai legālas, šim nolūkam piemērotas datorprogrammas, kā arī dažādas citas tehniskās iespējas vai metodes, kas nodrošina iegūto aprēķinu precizitāti un ticamību;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  <w:rPr>
          <w:b/>
        </w:rPr>
      </w:pPr>
      <w:r w:rsidRPr="000A3E56">
        <w:t>sagatavotā derīgo izrakteņu pārskata iesniegšana Latvijas Vides, ģeoloģijas un meteoroloģijas centram (turpmāk - LVĢMC) akceptēšanai un saņemt krājumu akceptēšanas komisijas protokola izrakstu;</w:t>
      </w:r>
    </w:p>
    <w:p w:rsidR="00004056" w:rsidRPr="000A3E56" w:rsidRDefault="00004056" w:rsidP="00A9270D">
      <w:pPr>
        <w:widowControl w:val="0"/>
        <w:numPr>
          <w:ilvl w:val="1"/>
          <w:numId w:val="1"/>
        </w:numPr>
        <w:ind w:left="1134" w:hanging="425"/>
        <w:jc w:val="both"/>
      </w:pPr>
      <w:r w:rsidRPr="000A3E56">
        <w:t>aprēķinu un citus darba nodevumus ir nepieciešams iepriekš saskaņot ar Pasūtītāju, pirms šo materiālu iesniegšanas LVĢMC.</w:t>
      </w:r>
    </w:p>
    <w:p w:rsidR="00004056" w:rsidRPr="000A3E56" w:rsidRDefault="00F35A5B" w:rsidP="00A9270D">
      <w:pPr>
        <w:widowControl w:val="0"/>
        <w:numPr>
          <w:ilvl w:val="1"/>
          <w:numId w:val="1"/>
        </w:numPr>
        <w:ind w:left="1134" w:hanging="425"/>
        <w:jc w:val="both"/>
      </w:pPr>
      <w:r w:rsidRPr="000A3E56">
        <w:t>P</w:t>
      </w:r>
      <w:r w:rsidR="00004056" w:rsidRPr="000A3E56">
        <w:t>asūtītājs nepieciešamības gadījumā var izvirzīt papildus prasības un nosacījumus.</w:t>
      </w:r>
    </w:p>
    <w:p w:rsidR="00004056" w:rsidRPr="000A3E56" w:rsidRDefault="00004056" w:rsidP="00A9270D">
      <w:pPr>
        <w:widowControl w:val="0"/>
        <w:numPr>
          <w:ilvl w:val="0"/>
          <w:numId w:val="1"/>
        </w:numPr>
        <w:jc w:val="both"/>
        <w:rPr>
          <w:b/>
        </w:rPr>
      </w:pPr>
      <w:r w:rsidRPr="000A3E56">
        <w:rPr>
          <w:b/>
        </w:rPr>
        <w:t>Darba nodevumi:</w:t>
      </w:r>
    </w:p>
    <w:p w:rsidR="00004056" w:rsidRPr="000A3E56" w:rsidRDefault="00004056" w:rsidP="00A9270D">
      <w:pPr>
        <w:pStyle w:val="Sarakstarindkopa1"/>
        <w:widowControl w:val="0"/>
        <w:numPr>
          <w:ilvl w:val="1"/>
          <w:numId w:val="1"/>
        </w:numPr>
        <w:ind w:left="1134" w:hanging="425"/>
        <w:jc w:val="both"/>
        <w:rPr>
          <w:sz w:val="24"/>
        </w:rPr>
      </w:pPr>
      <w:r w:rsidRPr="000A3E56">
        <w:rPr>
          <w:sz w:val="24"/>
        </w:rPr>
        <w:t>Derīgo izrakteņu atlikušo krājumu aprēķina (pārrēķina) pārskata oriģināleksemplārs ietverot visu</w:t>
      </w:r>
      <w:r w:rsidR="000A3E56" w:rsidRPr="000A3E56">
        <w:rPr>
          <w:sz w:val="24"/>
        </w:rPr>
        <w:t xml:space="preserve"> 2012.</w:t>
      </w:r>
      <w:r w:rsidR="000A3E56">
        <w:rPr>
          <w:sz w:val="24"/>
        </w:rPr>
        <w:t xml:space="preserve"> </w:t>
      </w:r>
      <w:r w:rsidR="000A3E56" w:rsidRPr="000A3E56">
        <w:rPr>
          <w:sz w:val="24"/>
        </w:rPr>
        <w:t xml:space="preserve">gada </w:t>
      </w:r>
      <w:proofErr w:type="gramStart"/>
      <w:r w:rsidR="000A3E56" w:rsidRPr="000A3E56">
        <w:rPr>
          <w:sz w:val="24"/>
        </w:rPr>
        <w:t>21.augusta</w:t>
      </w:r>
      <w:proofErr w:type="gramEnd"/>
      <w:r w:rsidRPr="000A3E56">
        <w:rPr>
          <w:sz w:val="24"/>
        </w:rPr>
        <w:t xml:space="preserve"> MK noteikumos Nr.570 „Derīgo izrakteņu ieguves kārtība” prasīto informāciju, tajā skaitā topogrāfiskā plāna oriģināla izdrukas un sagatavotās informācijas ierakstu uz digitālā datu nesējā (topogrāfiskais plāns *.</w:t>
      </w:r>
      <w:proofErr w:type="spellStart"/>
      <w:r w:rsidRPr="000A3E56">
        <w:rPr>
          <w:sz w:val="24"/>
        </w:rPr>
        <w:t>dgn</w:t>
      </w:r>
      <w:proofErr w:type="spellEnd"/>
      <w:r w:rsidRPr="000A3E56">
        <w:rPr>
          <w:sz w:val="24"/>
        </w:rPr>
        <w:t>, *.</w:t>
      </w:r>
      <w:proofErr w:type="spellStart"/>
      <w:r w:rsidRPr="000A3E56">
        <w:rPr>
          <w:sz w:val="24"/>
        </w:rPr>
        <w:t>dwg</w:t>
      </w:r>
      <w:proofErr w:type="spellEnd"/>
      <w:r w:rsidRPr="000A3E56">
        <w:rPr>
          <w:sz w:val="24"/>
        </w:rPr>
        <w:t xml:space="preserve"> un *.</w:t>
      </w:r>
      <w:proofErr w:type="spellStart"/>
      <w:r w:rsidRPr="000A3E56">
        <w:rPr>
          <w:sz w:val="24"/>
        </w:rPr>
        <w:t>pdf</w:t>
      </w:r>
      <w:proofErr w:type="spellEnd"/>
      <w:r w:rsidRPr="000A3E56">
        <w:rPr>
          <w:sz w:val="24"/>
        </w:rPr>
        <w:t xml:space="preserve"> formātā);</w:t>
      </w:r>
    </w:p>
    <w:p w:rsidR="00004056" w:rsidRPr="000A3E56" w:rsidRDefault="00004056" w:rsidP="00A9270D">
      <w:pPr>
        <w:pStyle w:val="Sarakstarindkopa1"/>
        <w:widowControl w:val="0"/>
        <w:numPr>
          <w:ilvl w:val="1"/>
          <w:numId w:val="1"/>
        </w:numPr>
        <w:spacing w:after="120"/>
        <w:ind w:left="1134" w:hanging="425"/>
        <w:jc w:val="both"/>
        <w:rPr>
          <w:sz w:val="24"/>
        </w:rPr>
      </w:pPr>
      <w:r w:rsidRPr="000A3E56">
        <w:rPr>
          <w:sz w:val="24"/>
        </w:rPr>
        <w:t>LVĢMC Derīgo izrakteņu krājumu akceptēšanas komisijas sēdes protokola izraksta oriģināleksemplārs, par derīgo izrakteņu krājumu akceptēšanu;</w:t>
      </w:r>
      <w:proofErr w:type="gramStart"/>
      <w:r w:rsidRPr="000A3E56">
        <w:rPr>
          <w:sz w:val="24"/>
        </w:rPr>
        <w:t xml:space="preserve">  </w:t>
      </w:r>
      <w:proofErr w:type="gramEnd"/>
    </w:p>
    <w:p w:rsidR="00004056" w:rsidRPr="000A3E56" w:rsidRDefault="00004056" w:rsidP="00A9270D">
      <w:pPr>
        <w:pStyle w:val="Sarakstarindkopa1"/>
        <w:widowControl w:val="0"/>
        <w:numPr>
          <w:ilvl w:val="1"/>
          <w:numId w:val="1"/>
        </w:numPr>
        <w:spacing w:after="120"/>
        <w:ind w:left="1134" w:hanging="425"/>
        <w:rPr>
          <w:sz w:val="24"/>
        </w:rPr>
      </w:pPr>
      <w:r w:rsidRPr="000A3E56">
        <w:rPr>
          <w:sz w:val="24"/>
        </w:rPr>
        <w:t>Topogrāfiskās uzmērīšanas lietas kopija elektroniskā formātā uz digitālā datu nesēja.</w:t>
      </w:r>
    </w:p>
    <w:p w:rsidR="00004056" w:rsidRPr="000A3E56" w:rsidRDefault="00004056" w:rsidP="00A9270D">
      <w:pPr>
        <w:widowControl w:val="0"/>
        <w:numPr>
          <w:ilvl w:val="0"/>
          <w:numId w:val="1"/>
        </w:numPr>
        <w:jc w:val="both"/>
        <w:rPr>
          <w:b/>
        </w:rPr>
      </w:pPr>
      <w:r w:rsidRPr="000A3E56">
        <w:rPr>
          <w:b/>
        </w:rPr>
        <w:t>Tehniskās specifikācijas pielikumā</w:t>
      </w:r>
      <w:r w:rsidR="00023326" w:rsidRPr="000A3E56">
        <w:rPr>
          <w:b/>
        </w:rPr>
        <w:t xml:space="preserve">, atsevišķs </w:t>
      </w:r>
      <w:r w:rsidRPr="000A3E56">
        <w:rPr>
          <w:b/>
        </w:rPr>
        <w:t>PDF formāta failā:</w:t>
      </w:r>
    </w:p>
    <w:p w:rsidR="00AD2C07" w:rsidRPr="000A3E56" w:rsidRDefault="00AD2C07" w:rsidP="00A9270D">
      <w:pPr>
        <w:pStyle w:val="Sarakstarindkopa1"/>
        <w:widowControl w:val="0"/>
        <w:numPr>
          <w:ilvl w:val="1"/>
          <w:numId w:val="1"/>
        </w:numPr>
        <w:spacing w:after="120"/>
        <w:ind w:left="1134" w:hanging="425"/>
        <w:rPr>
          <w:sz w:val="24"/>
        </w:rPr>
      </w:pPr>
      <w:r w:rsidRPr="000A3E56">
        <w:rPr>
          <w:sz w:val="24"/>
        </w:rPr>
        <w:t>Smilts atradnes “Aizsils” pase</w:t>
      </w:r>
      <w:r w:rsidR="00931E31">
        <w:rPr>
          <w:sz w:val="24"/>
        </w:rPr>
        <w:t>, zemes robežu plāns</w:t>
      </w:r>
    </w:p>
    <w:p w:rsidR="00683A0E" w:rsidRPr="000A3E56" w:rsidRDefault="00004056" w:rsidP="00A9270D">
      <w:pPr>
        <w:pStyle w:val="Sarakstarindkopa1"/>
        <w:widowControl w:val="0"/>
        <w:numPr>
          <w:ilvl w:val="1"/>
          <w:numId w:val="1"/>
        </w:numPr>
        <w:spacing w:after="120"/>
        <w:ind w:left="1134" w:hanging="425"/>
        <w:rPr>
          <w:sz w:val="24"/>
        </w:rPr>
      </w:pPr>
      <w:r w:rsidRPr="000A3E56">
        <w:rPr>
          <w:sz w:val="24"/>
        </w:rPr>
        <w:t>Smilts-grants atradnes</w:t>
      </w:r>
      <w:r w:rsidRPr="000A3E56">
        <w:rPr>
          <w:color w:val="0070C0"/>
          <w:sz w:val="24"/>
        </w:rPr>
        <w:t xml:space="preserve"> </w:t>
      </w:r>
      <w:r w:rsidR="00AD2C07" w:rsidRPr="000A3E56">
        <w:rPr>
          <w:sz w:val="24"/>
        </w:rPr>
        <w:t>“</w:t>
      </w:r>
      <w:proofErr w:type="spellStart"/>
      <w:r w:rsidR="00AD2C07" w:rsidRPr="000A3E56">
        <w:rPr>
          <w:sz w:val="24"/>
        </w:rPr>
        <w:t>Minerālšķūnis</w:t>
      </w:r>
      <w:proofErr w:type="spellEnd"/>
      <w:r w:rsidR="00AD2C07" w:rsidRPr="000A3E56">
        <w:rPr>
          <w:sz w:val="24"/>
        </w:rPr>
        <w:t xml:space="preserve"> II”</w:t>
      </w:r>
      <w:r w:rsidR="0071764F" w:rsidRPr="000A3E56">
        <w:rPr>
          <w:sz w:val="24"/>
        </w:rPr>
        <w:t xml:space="preserve"> </w:t>
      </w:r>
      <w:r w:rsidR="00AD2C07" w:rsidRPr="000A3E56">
        <w:rPr>
          <w:sz w:val="24"/>
        </w:rPr>
        <w:t>pase</w:t>
      </w:r>
      <w:r w:rsidR="00931E31">
        <w:rPr>
          <w:sz w:val="24"/>
        </w:rPr>
        <w:t>, zemes robežu plāns</w:t>
      </w:r>
    </w:p>
    <w:sectPr w:rsidR="00683A0E" w:rsidRPr="000A3E56" w:rsidSect="00AD2C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58C"/>
    <w:multiLevelType w:val="multilevel"/>
    <w:tmpl w:val="7F1CC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CA202E"/>
    <w:multiLevelType w:val="multilevel"/>
    <w:tmpl w:val="587E5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0D71E76"/>
    <w:multiLevelType w:val="multilevel"/>
    <w:tmpl w:val="AD0C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D06125A"/>
    <w:multiLevelType w:val="multilevel"/>
    <w:tmpl w:val="FCE2EE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31"/>
    <w:rsid w:val="00004056"/>
    <w:rsid w:val="00023326"/>
    <w:rsid w:val="000A3E56"/>
    <w:rsid w:val="00174C4F"/>
    <w:rsid w:val="00264847"/>
    <w:rsid w:val="00296B07"/>
    <w:rsid w:val="00542D70"/>
    <w:rsid w:val="005A3231"/>
    <w:rsid w:val="005D68E8"/>
    <w:rsid w:val="00641446"/>
    <w:rsid w:val="00667C36"/>
    <w:rsid w:val="00683A0E"/>
    <w:rsid w:val="006F50E9"/>
    <w:rsid w:val="0071764F"/>
    <w:rsid w:val="007958DE"/>
    <w:rsid w:val="008025EE"/>
    <w:rsid w:val="008F54E6"/>
    <w:rsid w:val="008F6249"/>
    <w:rsid w:val="00931E31"/>
    <w:rsid w:val="009679FD"/>
    <w:rsid w:val="00A50FA5"/>
    <w:rsid w:val="00A9270D"/>
    <w:rsid w:val="00AD2C07"/>
    <w:rsid w:val="00B21DA5"/>
    <w:rsid w:val="00B6438B"/>
    <w:rsid w:val="00B75E6F"/>
    <w:rsid w:val="00CA4742"/>
    <w:rsid w:val="00D31FE8"/>
    <w:rsid w:val="00E76F5C"/>
    <w:rsid w:val="00F35A5B"/>
    <w:rsid w:val="00F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4FD6E"/>
  <w15:chartTrackingRefBased/>
  <w15:docId w15:val="{595DF5F3-8C7D-4EAB-A76C-1F22409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00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link w:val="ListParagraphChar"/>
    <w:qFormat/>
    <w:rsid w:val="00004056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1"/>
    <w:rsid w:val="000040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v2131">
    <w:name w:val="tv2131"/>
    <w:basedOn w:val="Parasts"/>
    <w:rsid w:val="0000405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Sarakstarindkopa1">
    <w:name w:val="Saraksta rindkopa1"/>
    <w:basedOn w:val="Parasts"/>
    <w:uiPriority w:val="34"/>
    <w:qFormat/>
    <w:rsid w:val="00004056"/>
    <w:pPr>
      <w:ind w:left="720"/>
      <w:contextualSpacing/>
    </w:pPr>
    <w:rPr>
      <w:sz w:val="28"/>
      <w:lang w:eastAsia="en-US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B75E6F"/>
    <w:pPr>
      <w:widowControl w:val="0"/>
      <w:spacing w:after="120"/>
    </w:pPr>
    <w:rPr>
      <w:rFonts w:ascii="RimTimes" w:hAnsi="RimTimes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B75E6F"/>
    <w:rPr>
      <w:rFonts w:ascii="RimTimes" w:eastAsia="Times New Roman" w:hAnsi="RimTimes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2C0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2C07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A9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23</cp:revision>
  <cp:lastPrinted>2017-06-01T12:33:00Z</cp:lastPrinted>
  <dcterms:created xsi:type="dcterms:W3CDTF">2017-05-31T06:48:00Z</dcterms:created>
  <dcterms:modified xsi:type="dcterms:W3CDTF">2017-06-08T11:50:00Z</dcterms:modified>
</cp:coreProperties>
</file>