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32A9" w14:textId="01480F0A" w:rsidR="00C04A50" w:rsidRPr="00E93369" w:rsidRDefault="00C04A50" w:rsidP="00C04A50">
      <w:pPr>
        <w:pStyle w:val="Pamatteksts"/>
        <w:spacing w:after="0"/>
        <w:jc w:val="right"/>
        <w:rPr>
          <w:rFonts w:ascii="Times New Roman" w:hAnsi="Times New Roman"/>
          <w:szCs w:val="24"/>
          <w:lang w:val="lv-LV"/>
        </w:rPr>
      </w:pPr>
      <w:bookmarkStart w:id="0" w:name="_Hlk510514970"/>
      <w:r w:rsidRPr="00E93369">
        <w:rPr>
          <w:rFonts w:ascii="Times New Roman" w:hAnsi="Times New Roman"/>
          <w:szCs w:val="24"/>
          <w:lang w:val="lv-LV"/>
        </w:rPr>
        <w:t>Pielikums Nr.</w:t>
      </w:r>
      <w:r w:rsidR="00E93369" w:rsidRPr="00E93369">
        <w:rPr>
          <w:rFonts w:ascii="Times New Roman" w:hAnsi="Times New Roman"/>
          <w:szCs w:val="24"/>
          <w:lang w:val="lv-LV"/>
        </w:rPr>
        <w:t>7</w:t>
      </w:r>
    </w:p>
    <w:p w14:paraId="0D9A4148" w14:textId="77777777" w:rsidR="00C04A50" w:rsidRPr="00E93369" w:rsidRDefault="00C04A50" w:rsidP="00C04A50">
      <w:pPr>
        <w:pStyle w:val="Pamatteksts"/>
        <w:spacing w:after="0"/>
        <w:jc w:val="right"/>
        <w:rPr>
          <w:rFonts w:ascii="Times New Roman" w:hAnsi="Times New Roman"/>
          <w:szCs w:val="24"/>
          <w:lang w:val="lv-LV"/>
        </w:rPr>
      </w:pPr>
      <w:r w:rsidRPr="00E93369">
        <w:rPr>
          <w:rFonts w:ascii="Times New Roman" w:hAnsi="Times New Roman"/>
          <w:szCs w:val="24"/>
          <w:lang w:val="lv-LV"/>
        </w:rPr>
        <w:t>Iepirkumu procedūras</w:t>
      </w:r>
    </w:p>
    <w:p w14:paraId="71C7305C" w14:textId="77777777" w:rsidR="00C04A50" w:rsidRPr="00E93369" w:rsidRDefault="00C04A50" w:rsidP="00C04A50">
      <w:pPr>
        <w:pStyle w:val="Galvene"/>
        <w:jc w:val="right"/>
        <w:rPr>
          <w:lang w:val="lv-LV"/>
        </w:rPr>
      </w:pPr>
      <w:r w:rsidRPr="00E93369">
        <w:rPr>
          <w:lang w:val="lv-LV"/>
        </w:rPr>
        <w:t>“Būvuzraudzība Pils ielas pārbūves darbiem Cesvainē”</w:t>
      </w:r>
    </w:p>
    <w:p w14:paraId="01972506" w14:textId="77777777" w:rsidR="00C04A50" w:rsidRPr="00E93369" w:rsidRDefault="00C04A50" w:rsidP="00C04A50">
      <w:pPr>
        <w:pStyle w:val="Galvene"/>
        <w:jc w:val="right"/>
        <w:rPr>
          <w:lang w:val="lv-LV"/>
        </w:rPr>
      </w:pPr>
      <w:r w:rsidRPr="00E93369">
        <w:rPr>
          <w:lang w:val="lv-LV"/>
        </w:rPr>
        <w:t>identifikācijas Nr. CND 2018/5,</w:t>
      </w:r>
      <w:proofErr w:type="gramStart"/>
      <w:r w:rsidRPr="00E93369">
        <w:rPr>
          <w:lang w:val="lv-LV"/>
        </w:rPr>
        <w:t xml:space="preserve">  </w:t>
      </w:r>
      <w:proofErr w:type="gramEnd"/>
      <w:r w:rsidRPr="00E93369">
        <w:rPr>
          <w:lang w:val="lv-LV"/>
        </w:rPr>
        <w:t>nolikumam</w:t>
      </w:r>
    </w:p>
    <w:bookmarkEnd w:id="0"/>
    <w:p w14:paraId="63D82B91" w14:textId="77777777" w:rsidR="00C04A50" w:rsidRPr="00E93369" w:rsidRDefault="00C04A50" w:rsidP="00AC077C">
      <w:pPr>
        <w:spacing w:after="0" w:line="240" w:lineRule="auto"/>
        <w:jc w:val="center"/>
        <w:rPr>
          <w:rFonts w:ascii="Times New Roman" w:hAnsi="Times New Roman"/>
          <w:b/>
          <w:sz w:val="24"/>
          <w:szCs w:val="24"/>
        </w:rPr>
      </w:pPr>
    </w:p>
    <w:p w14:paraId="521EBFC3" w14:textId="1E74045D" w:rsidR="00AC077C" w:rsidRPr="00E93369" w:rsidRDefault="00AC077C" w:rsidP="00AC077C">
      <w:pPr>
        <w:spacing w:after="0" w:line="240" w:lineRule="auto"/>
        <w:jc w:val="center"/>
        <w:rPr>
          <w:rFonts w:ascii="Times New Roman" w:hAnsi="Times New Roman"/>
          <w:b/>
          <w:sz w:val="24"/>
          <w:szCs w:val="24"/>
        </w:rPr>
      </w:pPr>
      <w:r w:rsidRPr="00E93369">
        <w:rPr>
          <w:rFonts w:ascii="Times New Roman" w:hAnsi="Times New Roman"/>
          <w:b/>
          <w:sz w:val="24"/>
          <w:szCs w:val="24"/>
        </w:rPr>
        <w:t>Tehniskā specifikācija</w:t>
      </w:r>
    </w:p>
    <w:p w14:paraId="00AF7828" w14:textId="77777777" w:rsidR="00AC077C" w:rsidRPr="00E93369" w:rsidRDefault="00AC077C" w:rsidP="00AC077C">
      <w:pPr>
        <w:spacing w:after="0" w:line="240" w:lineRule="auto"/>
        <w:jc w:val="center"/>
        <w:rPr>
          <w:rFonts w:ascii="Times New Roman" w:hAnsi="Times New Roman"/>
          <w:b/>
          <w:sz w:val="24"/>
          <w:szCs w:val="24"/>
        </w:rPr>
      </w:pPr>
    </w:p>
    <w:p w14:paraId="00CADA28" w14:textId="5CA48A77" w:rsidR="00AC077C" w:rsidRPr="00E93369" w:rsidRDefault="00C04A50" w:rsidP="00C04A50">
      <w:pPr>
        <w:spacing w:after="0" w:line="240" w:lineRule="auto"/>
        <w:jc w:val="center"/>
        <w:rPr>
          <w:rFonts w:ascii="Times New Roman" w:hAnsi="Times New Roman"/>
          <w:b/>
          <w:bCs/>
          <w:iCs/>
          <w:sz w:val="24"/>
          <w:szCs w:val="24"/>
        </w:rPr>
      </w:pPr>
      <w:r w:rsidRPr="00E93369">
        <w:rPr>
          <w:rFonts w:ascii="Times New Roman" w:hAnsi="Times New Roman"/>
          <w:b/>
          <w:bCs/>
          <w:sz w:val="24"/>
          <w:szCs w:val="24"/>
        </w:rPr>
        <w:t xml:space="preserve">  </w:t>
      </w:r>
    </w:p>
    <w:p w14:paraId="574EDC60" w14:textId="61F91283" w:rsidR="00AD59EC" w:rsidRPr="00E93369" w:rsidRDefault="00AD59EC" w:rsidP="00AD59EC">
      <w:pPr>
        <w:pStyle w:val="Sarakstarindkopa"/>
        <w:suppressAutoHyphens/>
        <w:spacing w:after="0" w:line="240" w:lineRule="auto"/>
        <w:ind w:left="284"/>
        <w:jc w:val="both"/>
        <w:rPr>
          <w:rFonts w:ascii="Times New Roman" w:hAnsi="Times New Roman"/>
          <w:sz w:val="24"/>
          <w:szCs w:val="24"/>
        </w:rPr>
      </w:pPr>
    </w:p>
    <w:p w14:paraId="4E5DF23D" w14:textId="47CDA4A4" w:rsidR="00AC077C" w:rsidRPr="00E93369" w:rsidRDefault="00AC077C" w:rsidP="00AC077C">
      <w:pPr>
        <w:numPr>
          <w:ilvl w:val="0"/>
          <w:numId w:val="5"/>
        </w:numPr>
        <w:suppressAutoHyphens/>
        <w:spacing w:after="0" w:line="240" w:lineRule="auto"/>
        <w:ind w:left="284" w:hanging="284"/>
        <w:jc w:val="both"/>
        <w:rPr>
          <w:rFonts w:ascii="Times New Roman" w:hAnsi="Times New Roman"/>
          <w:sz w:val="24"/>
          <w:szCs w:val="24"/>
          <w:lang w:eastAsia="ar-SA"/>
        </w:rPr>
      </w:pPr>
      <w:r w:rsidRPr="00E93369">
        <w:rPr>
          <w:rFonts w:ascii="Times New Roman" w:hAnsi="Times New Roman"/>
          <w:sz w:val="24"/>
          <w:szCs w:val="24"/>
          <w:lang w:eastAsia="ar-SA"/>
        </w:rPr>
        <w:t>Pretendentam jāveic būvuzraudzība</w:t>
      </w:r>
      <w:r w:rsidRPr="00E93369">
        <w:rPr>
          <w:rFonts w:ascii="Times New Roman" w:hAnsi="Times New Roman"/>
          <w:bCs/>
          <w:iCs/>
          <w:sz w:val="24"/>
          <w:szCs w:val="24"/>
          <w:lang w:eastAsia="ar-SA"/>
        </w:rPr>
        <w:t xml:space="preserve"> </w:t>
      </w:r>
      <w:bookmarkStart w:id="1" w:name="IepirkumaNosaukums"/>
      <w:r w:rsidR="00E93369" w:rsidRPr="00E93369">
        <w:rPr>
          <w:rFonts w:ascii="Times New Roman" w:hAnsi="Times New Roman"/>
          <w:sz w:val="24"/>
          <w:szCs w:val="24"/>
        </w:rPr>
        <w:t>Pils ielas pārbūves darbiem Cesvainē</w:t>
      </w:r>
      <w:bookmarkEnd w:id="1"/>
      <w:r w:rsidR="00E93369" w:rsidRPr="00E93369">
        <w:rPr>
          <w:rFonts w:ascii="Times New Roman" w:hAnsi="Times New Roman"/>
          <w:sz w:val="24"/>
          <w:szCs w:val="24"/>
        </w:rPr>
        <w:t xml:space="preserve">, </w:t>
      </w:r>
      <w:r w:rsidRPr="00E93369">
        <w:rPr>
          <w:rFonts w:ascii="Times New Roman" w:hAnsi="Times New Roman"/>
          <w:sz w:val="24"/>
          <w:szCs w:val="24"/>
          <w:lang w:eastAsia="ar-SA"/>
        </w:rPr>
        <w:t>nodrošinot pasūtītāja interešu pārstāvību būvdarbu veikšanas procesā.</w:t>
      </w:r>
    </w:p>
    <w:p w14:paraId="0522DE56" w14:textId="77777777" w:rsidR="00AC077C" w:rsidRPr="00E93369" w:rsidRDefault="00AC077C" w:rsidP="00AC077C">
      <w:pPr>
        <w:numPr>
          <w:ilvl w:val="0"/>
          <w:numId w:val="5"/>
        </w:numPr>
        <w:suppressAutoHyphens/>
        <w:spacing w:after="0" w:line="240" w:lineRule="auto"/>
        <w:ind w:left="284" w:hanging="284"/>
        <w:jc w:val="both"/>
        <w:rPr>
          <w:rFonts w:ascii="Times New Roman" w:hAnsi="Times New Roman"/>
          <w:sz w:val="24"/>
          <w:szCs w:val="24"/>
          <w:lang w:eastAsia="ar-SA"/>
        </w:rPr>
      </w:pPr>
      <w:r w:rsidRPr="00E93369">
        <w:rPr>
          <w:rFonts w:ascii="Times New Roman" w:hAnsi="Times New Roman"/>
          <w:sz w:val="24"/>
          <w:szCs w:val="24"/>
          <w:lang w:eastAsia="ar-SA"/>
        </w:rPr>
        <w:t>Termiņi:</w:t>
      </w:r>
    </w:p>
    <w:p w14:paraId="25B84A5B" w14:textId="6F6DA588" w:rsidR="00AC077C" w:rsidRPr="00E93369" w:rsidRDefault="00AC077C" w:rsidP="00AC077C">
      <w:pPr>
        <w:numPr>
          <w:ilvl w:val="1"/>
          <w:numId w:val="5"/>
        </w:numPr>
        <w:suppressAutoHyphens/>
        <w:spacing w:after="0" w:line="240" w:lineRule="auto"/>
        <w:ind w:left="709" w:hanging="425"/>
        <w:jc w:val="both"/>
        <w:rPr>
          <w:rFonts w:ascii="Times New Roman" w:hAnsi="Times New Roman"/>
          <w:sz w:val="24"/>
          <w:szCs w:val="24"/>
        </w:rPr>
      </w:pPr>
      <w:r w:rsidRPr="00E93369">
        <w:rPr>
          <w:rFonts w:ascii="Times New Roman" w:hAnsi="Times New Roman"/>
          <w:sz w:val="24"/>
          <w:szCs w:val="24"/>
          <w:lang w:eastAsia="ar-SA"/>
        </w:rPr>
        <w:t>Būvniecības darbu plānotais termiņš</w:t>
      </w:r>
      <w:proofErr w:type="gramStart"/>
      <w:r w:rsidRPr="00E93369">
        <w:rPr>
          <w:rFonts w:ascii="Times New Roman" w:hAnsi="Times New Roman"/>
          <w:sz w:val="24"/>
          <w:szCs w:val="24"/>
          <w:lang w:eastAsia="ar-SA"/>
        </w:rPr>
        <w:t xml:space="preserve"> </w:t>
      </w:r>
      <w:r w:rsidRPr="00E93369">
        <w:rPr>
          <w:rFonts w:ascii="Times New Roman" w:hAnsi="Times New Roman"/>
          <w:sz w:val="24"/>
          <w:szCs w:val="24"/>
        </w:rPr>
        <w:t xml:space="preserve">: </w:t>
      </w:r>
      <w:proofErr w:type="gramEnd"/>
      <w:r w:rsidR="00E93369" w:rsidRPr="00E93369">
        <w:rPr>
          <w:rFonts w:ascii="Times New Roman" w:hAnsi="Times New Roman"/>
          <w:sz w:val="24"/>
          <w:szCs w:val="24"/>
        </w:rPr>
        <w:t>12 kalendārie mēneši no līguma noslēgšanas dienas, ieskaitot tehnoloģiskos pārtraukumus.</w:t>
      </w:r>
      <w:r w:rsidRPr="00E93369">
        <w:rPr>
          <w:rFonts w:ascii="Times New Roman" w:hAnsi="Times New Roman"/>
          <w:sz w:val="24"/>
          <w:szCs w:val="24"/>
        </w:rPr>
        <w:t xml:space="preserve"> Būvdarbu izpildes termiņš ir informatīvs</w:t>
      </w:r>
      <w:proofErr w:type="gramStart"/>
      <w:r w:rsidRPr="00E93369">
        <w:rPr>
          <w:rFonts w:ascii="Times New Roman" w:hAnsi="Times New Roman"/>
          <w:sz w:val="24"/>
          <w:szCs w:val="24"/>
        </w:rPr>
        <w:t xml:space="preserve"> un</w:t>
      </w:r>
      <w:proofErr w:type="gramEnd"/>
      <w:r w:rsidRPr="00E93369">
        <w:rPr>
          <w:rFonts w:ascii="Times New Roman" w:hAnsi="Times New Roman"/>
          <w:sz w:val="24"/>
          <w:szCs w:val="24"/>
        </w:rPr>
        <w:t xml:space="preserve"> ja būvdarbu izpilde jebkurā gadījumā pārsniedz šo termiņu, Būvuzraugam nav tiesību prasīt papildus samaksu sakarā ar izmaiņām būvdarbu pabeigšanas termiņā (t.sk. gadījumā ja būvdarbi tiek apturēti uz laiku).</w:t>
      </w:r>
    </w:p>
    <w:p w14:paraId="2A0958FB" w14:textId="77777777" w:rsidR="00AC077C" w:rsidRPr="00E93369" w:rsidRDefault="00AC077C" w:rsidP="00AC077C">
      <w:pPr>
        <w:numPr>
          <w:ilvl w:val="1"/>
          <w:numId w:val="5"/>
        </w:numPr>
        <w:suppressAutoHyphens/>
        <w:spacing w:after="0" w:line="240" w:lineRule="auto"/>
        <w:ind w:left="709" w:hanging="425"/>
        <w:jc w:val="both"/>
        <w:rPr>
          <w:rFonts w:ascii="Times New Roman" w:hAnsi="Times New Roman"/>
          <w:sz w:val="24"/>
          <w:szCs w:val="24"/>
        </w:rPr>
      </w:pPr>
      <w:r w:rsidRPr="00E93369">
        <w:rPr>
          <w:rFonts w:ascii="Times New Roman" w:hAnsi="Times New Roman"/>
          <w:sz w:val="24"/>
          <w:szCs w:val="24"/>
          <w:lang w:eastAsia="ar-SA"/>
        </w:rPr>
        <w:t>Līguma izpildes laiks ir no līguma spēkā stāšanās dienas līdz Būvobjekta nodošanai ekspluatācijā.</w:t>
      </w:r>
    </w:p>
    <w:p w14:paraId="43A75972" w14:textId="77777777" w:rsidR="00AC077C" w:rsidRPr="00E93369" w:rsidRDefault="00AC077C" w:rsidP="00AC077C">
      <w:pPr>
        <w:numPr>
          <w:ilvl w:val="1"/>
          <w:numId w:val="5"/>
        </w:numPr>
        <w:suppressAutoHyphens/>
        <w:spacing w:after="0" w:line="240" w:lineRule="auto"/>
        <w:ind w:left="709" w:hanging="425"/>
        <w:jc w:val="both"/>
        <w:rPr>
          <w:rFonts w:ascii="Times New Roman" w:hAnsi="Times New Roman"/>
          <w:sz w:val="24"/>
          <w:szCs w:val="24"/>
        </w:rPr>
      </w:pPr>
      <w:r w:rsidRPr="00E93369">
        <w:rPr>
          <w:rFonts w:ascii="Times New Roman" w:hAnsi="Times New Roman"/>
          <w:sz w:val="24"/>
          <w:szCs w:val="24"/>
        </w:rPr>
        <w:t>Garantijas periods Būvobjektā veiktajiem darbiem: 60 (sešdesmit) kalendārie mēneši.</w:t>
      </w:r>
    </w:p>
    <w:p w14:paraId="061F301A" w14:textId="77777777" w:rsidR="00AC077C" w:rsidRPr="00E93369" w:rsidRDefault="00AC077C" w:rsidP="00AC077C">
      <w:pPr>
        <w:numPr>
          <w:ilvl w:val="0"/>
          <w:numId w:val="5"/>
        </w:numPr>
        <w:spacing w:after="0" w:line="240" w:lineRule="auto"/>
        <w:ind w:left="284" w:hanging="284"/>
        <w:jc w:val="both"/>
        <w:rPr>
          <w:rFonts w:ascii="Times New Roman" w:hAnsi="Times New Roman"/>
          <w:sz w:val="24"/>
          <w:szCs w:val="24"/>
        </w:rPr>
      </w:pPr>
      <w:r w:rsidRPr="00E93369">
        <w:rPr>
          <w:rFonts w:ascii="Times New Roman" w:hAnsi="Times New Roman"/>
          <w:sz w:val="24"/>
          <w:szCs w:val="24"/>
        </w:rPr>
        <w:t>Tehniskā specifikācija ir tehnisko aprakstu apkopojums, kas nosaka Pasūtītāja prasības attiecībā uz būvuzraudzību.</w:t>
      </w:r>
    </w:p>
    <w:p w14:paraId="75850612" w14:textId="77777777" w:rsidR="00AC077C" w:rsidRPr="00E93369" w:rsidRDefault="00AC077C" w:rsidP="00AC077C">
      <w:pPr>
        <w:numPr>
          <w:ilvl w:val="0"/>
          <w:numId w:val="5"/>
        </w:numPr>
        <w:spacing w:after="0" w:line="240" w:lineRule="auto"/>
        <w:ind w:left="284" w:hanging="284"/>
        <w:jc w:val="both"/>
        <w:rPr>
          <w:rFonts w:ascii="Times New Roman" w:hAnsi="Times New Roman"/>
          <w:sz w:val="24"/>
          <w:szCs w:val="24"/>
        </w:rPr>
      </w:pPr>
      <w:r w:rsidRPr="00E93369">
        <w:rPr>
          <w:rFonts w:ascii="Times New Roman" w:hAnsi="Times New Roman"/>
          <w:sz w:val="24"/>
          <w:szCs w:val="24"/>
        </w:rPr>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14:paraId="0B46DC53" w14:textId="77777777" w:rsidR="00AC077C" w:rsidRPr="00E93369" w:rsidRDefault="00AC077C" w:rsidP="00AC077C">
      <w:pPr>
        <w:numPr>
          <w:ilvl w:val="0"/>
          <w:numId w:val="5"/>
        </w:numPr>
        <w:spacing w:after="0" w:line="240" w:lineRule="auto"/>
        <w:ind w:left="284" w:hanging="284"/>
        <w:jc w:val="both"/>
        <w:rPr>
          <w:rFonts w:ascii="Times New Roman" w:hAnsi="Times New Roman"/>
          <w:sz w:val="24"/>
          <w:szCs w:val="24"/>
        </w:rPr>
      </w:pPr>
      <w:r w:rsidRPr="00E93369">
        <w:rPr>
          <w:rFonts w:ascii="Times New Roman" w:hAnsi="Times New Roman"/>
          <w:sz w:val="24"/>
          <w:szCs w:val="24"/>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14:paraId="387F1254" w14:textId="77777777" w:rsidR="00AC077C" w:rsidRPr="00E93369" w:rsidRDefault="00AC077C" w:rsidP="00AC077C">
      <w:pPr>
        <w:numPr>
          <w:ilvl w:val="0"/>
          <w:numId w:val="5"/>
        </w:numPr>
        <w:spacing w:after="0" w:line="240" w:lineRule="auto"/>
        <w:ind w:left="284" w:hanging="284"/>
        <w:jc w:val="both"/>
        <w:rPr>
          <w:rFonts w:ascii="Times New Roman" w:hAnsi="Times New Roman"/>
          <w:sz w:val="24"/>
          <w:szCs w:val="24"/>
        </w:rPr>
      </w:pPr>
      <w:r w:rsidRPr="00E93369">
        <w:rPr>
          <w:rFonts w:ascii="Times New Roman" w:hAnsi="Times New Roman"/>
          <w:sz w:val="24"/>
          <w:szCs w:val="24"/>
        </w:rPr>
        <w:t>Pretendents ir atbildīgs par kļūdām piedāvājumā, kas radušās, nepareizi saprotot vai interpretējot Pasūtītāja noteiktās prasības.</w:t>
      </w:r>
    </w:p>
    <w:p w14:paraId="1E31D82A" w14:textId="77777777" w:rsidR="007B6EFB" w:rsidRPr="00E93369" w:rsidRDefault="007B6EFB" w:rsidP="007B6EFB">
      <w:pPr>
        <w:spacing w:after="0" w:line="240" w:lineRule="auto"/>
        <w:ind w:left="360"/>
        <w:jc w:val="both"/>
        <w:rPr>
          <w:rFonts w:ascii="Times New Roman" w:hAnsi="Times New Roman"/>
          <w:b/>
          <w:sz w:val="24"/>
          <w:szCs w:val="24"/>
        </w:rPr>
      </w:pPr>
    </w:p>
    <w:p w14:paraId="78DF2883" w14:textId="7174857C" w:rsidR="007B6EFB" w:rsidRPr="00E93369" w:rsidRDefault="007B6EFB" w:rsidP="007B6EFB">
      <w:pPr>
        <w:spacing w:after="0" w:line="240" w:lineRule="auto"/>
        <w:ind w:left="360"/>
        <w:jc w:val="center"/>
        <w:rPr>
          <w:rFonts w:ascii="Times New Roman" w:hAnsi="Times New Roman"/>
          <w:sz w:val="24"/>
          <w:szCs w:val="24"/>
        </w:rPr>
      </w:pPr>
      <w:r w:rsidRPr="00E93369">
        <w:rPr>
          <w:rFonts w:ascii="Times New Roman" w:hAnsi="Times New Roman"/>
          <w:b/>
          <w:sz w:val="24"/>
          <w:szCs w:val="24"/>
        </w:rPr>
        <w:t>Darba uzdevums</w:t>
      </w:r>
    </w:p>
    <w:p w14:paraId="048E60ED" w14:textId="77777777" w:rsidR="00AD59EC" w:rsidRPr="00E93369" w:rsidRDefault="00AD59EC" w:rsidP="00AD59EC">
      <w:pPr>
        <w:pStyle w:val="Sarakstarindkopa"/>
        <w:suppressAutoHyphens/>
        <w:spacing w:after="0" w:line="240" w:lineRule="auto"/>
        <w:ind w:left="284"/>
        <w:jc w:val="both"/>
        <w:rPr>
          <w:rFonts w:ascii="Times New Roman" w:hAnsi="Times New Roman"/>
          <w:sz w:val="24"/>
          <w:szCs w:val="24"/>
        </w:rPr>
      </w:pPr>
    </w:p>
    <w:p w14:paraId="7DCF5A14" w14:textId="77777777" w:rsidR="00AD59EC" w:rsidRPr="00E93369" w:rsidRDefault="00AD59EC" w:rsidP="00AD59EC">
      <w:pPr>
        <w:pStyle w:val="Sarakstarindkopa"/>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Pēc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14:paraId="715D9466" w14:textId="77777777" w:rsidR="00AD59EC" w:rsidRPr="00E93369" w:rsidRDefault="00AD59EC" w:rsidP="00AD59EC">
      <w:pPr>
        <w:pStyle w:val="Sarakstarindkopa"/>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14:paraId="3FB5DC94" w14:textId="77777777" w:rsidR="00AD59EC" w:rsidRPr="00E93369" w:rsidRDefault="00AD59EC" w:rsidP="00AD59EC">
      <w:pPr>
        <w:pStyle w:val="Sarakstarindkopa"/>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Sekot līdzi autoruzraudzības procesam</w:t>
      </w:r>
    </w:p>
    <w:p w14:paraId="34AB57C9" w14:textId="61743953" w:rsidR="00AD59EC" w:rsidRPr="00E93369" w:rsidRDefault="00DB6309" w:rsidP="00AD59EC">
      <w:pPr>
        <w:pStyle w:val="Sarakstarindkopa"/>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Ā</w:t>
      </w:r>
      <w:r w:rsidR="00AD59EC" w:rsidRPr="00E93369">
        <w:rPr>
          <w:rFonts w:ascii="Times New Roman" w:hAnsi="Times New Roman"/>
          <w:sz w:val="24"/>
          <w:szCs w:val="24"/>
          <w:lang w:eastAsia="ar-SA"/>
        </w:rPr>
        <w:t xml:space="preserve">rpuskārtas ierašanās Būvobjektā 4 stundu laikā pēc Pasūtītāja vai Būvuzņēmēja mutiska vai rakstiska pieprasījuma </w:t>
      </w:r>
    </w:p>
    <w:p w14:paraId="76ECA351" w14:textId="646FEB86" w:rsidR="00AD59EC" w:rsidRPr="00E93369" w:rsidRDefault="00AD59EC" w:rsidP="00AD59EC">
      <w:pPr>
        <w:pStyle w:val="Sarakstarindkopa"/>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color w:val="000000"/>
          <w:sz w:val="24"/>
          <w:szCs w:val="24"/>
        </w:rPr>
        <w:lastRenderedPageBreak/>
        <w:t xml:space="preserve">Izpildīt Pasūtītāja norādījumus un ieteikumus ar nosacījumu, ka tie nav pretrunā ar Būvprojektu </w:t>
      </w:r>
      <w:r w:rsidRPr="00E93369">
        <w:rPr>
          <w:rFonts w:ascii="Times New Roman" w:hAnsi="Times New Roman"/>
          <w:sz w:val="24"/>
          <w:szCs w:val="24"/>
        </w:rPr>
        <w:t>un Latvijas Republikā spēkā esošiem normatīviem aktiem.</w:t>
      </w:r>
    </w:p>
    <w:p w14:paraId="6F4250F6"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lang w:eastAsia="ar-SA"/>
        </w:rPr>
      </w:pPr>
      <w:r w:rsidRPr="00E93369">
        <w:rPr>
          <w:rFonts w:ascii="Times New Roman" w:hAnsi="Times New Roman"/>
          <w:color w:val="000000"/>
          <w:sz w:val="24"/>
          <w:szCs w:val="24"/>
        </w:rPr>
        <w:t xml:space="preserve">Pārbaudīt, vai Būvuzņēmēja un citu pieaicināto darbuzņēmēju rīcībā ir būvdarbu veikšanai nepieciešamais Būvprojekts un cita nepieciešamā dokumentācija, atbilstoši būvniecības likumdošanai. </w:t>
      </w:r>
    </w:p>
    <w:p w14:paraId="5E28D4FE"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lang w:eastAsia="ar-SA"/>
        </w:rPr>
      </w:pPr>
      <w:r w:rsidRPr="00E93369">
        <w:rPr>
          <w:rFonts w:ascii="Times New Roman" w:hAnsi="Times New Roman"/>
          <w:sz w:val="24"/>
          <w:szCs w:val="24"/>
        </w:rPr>
        <w:t xml:space="preserve">Iepazīstas un seko līdzi Būvprojektam un Pasūtītāja ar Būvuzņēmēju noslēgtā līguma izpildei. </w:t>
      </w:r>
    </w:p>
    <w:p w14:paraId="5F7FF634"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lang w:eastAsia="ar-SA"/>
        </w:rPr>
      </w:pPr>
      <w:r w:rsidRPr="00E93369">
        <w:rPr>
          <w:rFonts w:ascii="Times New Roman" w:hAnsi="Times New Roman"/>
          <w:color w:val="000000"/>
          <w:sz w:val="24"/>
          <w:szCs w:val="24"/>
        </w:rPr>
        <w:t>Kontrolēt un uzraudzīt būvdarbu veikšanas grafiku</w:t>
      </w:r>
      <w:r w:rsidRPr="00E93369">
        <w:rPr>
          <w:rFonts w:ascii="Times New Roman" w:hAnsi="Times New Roman"/>
          <w:sz w:val="24"/>
          <w:szCs w:val="24"/>
        </w:rPr>
        <w:t xml:space="preserve">. </w:t>
      </w:r>
      <w:r w:rsidRPr="00E93369">
        <w:rPr>
          <w:rFonts w:ascii="Times New Roman" w:hAnsi="Times New Roman"/>
          <w:bCs/>
          <w:sz w:val="24"/>
          <w:szCs w:val="24"/>
        </w:rPr>
        <w:t xml:space="preserve">Sekot, lai būvdarbi tiktu veikti plānotajā laikā un to veikšanai tiktu piesaistīti pietiekami resursi. </w:t>
      </w:r>
    </w:p>
    <w:p w14:paraId="4B15123D"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lang w:eastAsia="ar-SA"/>
        </w:rPr>
      </w:pPr>
      <w:r w:rsidRPr="00E93369">
        <w:rPr>
          <w:rFonts w:ascii="Times New Roman" w:hAnsi="Times New Roman"/>
          <w:sz w:val="24"/>
          <w:szCs w:val="24"/>
        </w:rPr>
        <w:t>Uzraudzīt, lai visi ar Būvobjekta būvniecību saistītie būvdarbi tiktu izpildīti atbilstoši noslēgtajam Būvuzņēmēja līgumam. Pasūtītāja vai tā atbildīgo pārstāvju organizētajās sapulcēs ziņot par grafiku progresu.</w:t>
      </w:r>
    </w:p>
    <w:p w14:paraId="026996D7"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lang w:eastAsia="ar-SA"/>
        </w:rPr>
      </w:pPr>
      <w:r w:rsidRPr="00E93369">
        <w:rPr>
          <w:rFonts w:ascii="Times New Roman" w:hAnsi="Times New Roman"/>
          <w:color w:val="000000"/>
          <w:sz w:val="24"/>
          <w:szCs w:val="24"/>
        </w:rPr>
        <w:t>Kontrolēt būvdarbu izmaksu</w:t>
      </w:r>
      <w:r w:rsidRPr="00E93369">
        <w:rPr>
          <w:rFonts w:ascii="Times New Roman" w:hAnsi="Times New Roman"/>
          <w:color w:val="FF0000"/>
          <w:sz w:val="24"/>
          <w:szCs w:val="24"/>
        </w:rPr>
        <w:t xml:space="preserve"> </w:t>
      </w:r>
      <w:r w:rsidRPr="00E93369">
        <w:rPr>
          <w:rFonts w:ascii="Times New Roman" w:hAnsi="Times New Roman"/>
          <w:sz w:val="24"/>
          <w:szCs w:val="24"/>
        </w:rPr>
        <w:t>atbilstību Pasūtītāja noslēgtajam būvdarbu līgumam.</w:t>
      </w:r>
      <w:r w:rsidRPr="00E93369">
        <w:rPr>
          <w:rFonts w:ascii="Times New Roman" w:hAnsi="Times New Roman"/>
          <w:sz w:val="24"/>
          <w:szCs w:val="24"/>
          <w:lang w:eastAsia="ar-SA"/>
        </w:rPr>
        <w:t xml:space="preserve"> </w:t>
      </w:r>
    </w:p>
    <w:p w14:paraId="27CC6011"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bCs/>
          <w:sz w:val="24"/>
          <w:szCs w:val="24"/>
        </w:rPr>
        <w:t>Nodrošināt, lai paveikto būvdarbu kvalitāte un apjomi tiktu pienācīgi pārbaudīti un dokumentēti.</w:t>
      </w:r>
    </w:p>
    <w:p w14:paraId="668E3B3A"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color w:val="000000"/>
          <w:sz w:val="24"/>
          <w:szCs w:val="24"/>
        </w:rPr>
        <w:t>Regulāri pārbaudīt būvdarbos pielietojamo izstrādājumu, iekārtu un materiālu kvalitāti,</w:t>
      </w:r>
      <w:r w:rsidRPr="00E93369">
        <w:rPr>
          <w:rFonts w:ascii="Times New Roman" w:hAnsi="Times New Roman"/>
          <w:sz w:val="24"/>
          <w:szCs w:val="24"/>
        </w:rPr>
        <w:t xml:space="preserve"> kurai jāatbilst Latvijas Republikā spēkā esošo būvnormatīvu prasībām</w:t>
      </w:r>
    </w:p>
    <w:p w14:paraId="798302BF"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color w:val="000000"/>
          <w:sz w:val="24"/>
          <w:szCs w:val="24"/>
        </w:rPr>
        <w:t xml:space="preserve">  Izpildītājam jānodrošina būvuzraugu un to palīgu veikto darbību un to rezultātu (iegūto datu) pierakstīšana un šo pierakstu glabāšana līdz Būves </w:t>
      </w:r>
      <w:proofErr w:type="gramStart"/>
      <w:r w:rsidRPr="00E93369">
        <w:rPr>
          <w:rFonts w:ascii="Times New Roman" w:hAnsi="Times New Roman"/>
          <w:color w:val="000000"/>
          <w:sz w:val="24"/>
          <w:szCs w:val="24"/>
        </w:rPr>
        <w:t>nodošanas- pi</w:t>
      </w:r>
      <w:proofErr w:type="gramEnd"/>
      <w:r w:rsidRPr="00E93369">
        <w:rPr>
          <w:rFonts w:ascii="Times New Roman" w:hAnsi="Times New Roman"/>
          <w:color w:val="000000"/>
          <w:sz w:val="24"/>
          <w:szCs w:val="24"/>
        </w:rPr>
        <w:t>eņemšanas akta apstiprināšanas dienai, un pēc tam dati jānodod Pasūtītājam</w:t>
      </w:r>
    </w:p>
    <w:p w14:paraId="320D620F"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color w:val="000000"/>
          <w:sz w:val="24"/>
          <w:szCs w:val="24"/>
        </w:rPr>
        <w:t>Veikt būvlaukumā konstatēto pārkāpumu un defektu fiksāciju (</w:t>
      </w:r>
      <w:proofErr w:type="spellStart"/>
      <w:r w:rsidRPr="00E93369">
        <w:rPr>
          <w:rFonts w:ascii="Times New Roman" w:hAnsi="Times New Roman"/>
          <w:color w:val="000000"/>
          <w:sz w:val="24"/>
          <w:szCs w:val="24"/>
        </w:rPr>
        <w:t>fotofiksāciju</w:t>
      </w:r>
      <w:proofErr w:type="spellEnd"/>
      <w:r w:rsidRPr="00E93369">
        <w:rPr>
          <w:rFonts w:ascii="Times New Roman" w:hAnsi="Times New Roman"/>
          <w:color w:val="000000"/>
          <w:sz w:val="24"/>
          <w:szCs w:val="24"/>
        </w:rPr>
        <w:t>),</w:t>
      </w:r>
      <w:r w:rsidRPr="00E93369">
        <w:rPr>
          <w:rFonts w:ascii="Times New Roman" w:hAnsi="Times New Roman"/>
          <w:sz w:val="24"/>
          <w:szCs w:val="24"/>
        </w:rPr>
        <w:t xml:space="preserve"> noformēt to rakstiski un parakstīt attiecīgi sastādītu aktu. Uzraudzīt un pieprasīt no Būvuzņēmēja būvuzraudzības procesā konstatēto defektu novēršanu. Uzraudzīt un pieprasīt pārkāpumu, atkāpju no Būvprojekta, būvdarbu tāmes vai spēkā esošajiem Latvijas būvnormatīviem novēršanu.</w:t>
      </w:r>
    </w:p>
    <w:p w14:paraId="467798EA"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rPr>
        <w:t>Izvērtēt ar būvniecības projekta īstenošanas procesu saistītos potenciālos riskus un to ietekmi uz būvdarbu procesu. Veikt risku novēršanas pasākumus, samazinot negatīvo ietekmi uz būvniecības projekta īstenošanas procesu (būvdarbu aizkavēšanās, būvprojektā neparedzētu būvdarbu izpildes nepieciešamības parādīšanās, būvdarbu veicēja sliktā darba kvalitāte, nepietiekama būvdarbu organizācija, vai ļaunprātīga rīcība u.c.).</w:t>
      </w:r>
    </w:p>
    <w:p w14:paraId="75321D13"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bookmarkStart w:id="2" w:name="_Hlk493665370"/>
      <w:bookmarkStart w:id="3" w:name="_Hlk493664705"/>
      <w:r w:rsidRPr="00E93369">
        <w:rPr>
          <w:rFonts w:ascii="Times New Roman" w:hAnsi="Times New Roman"/>
          <w:sz w:val="24"/>
          <w:szCs w:val="24"/>
        </w:rPr>
        <w:t xml:space="preserve">Ja Būvdarbu veicējs būvuzraudzības laikā maina Būvprojektā norādītos materiālus uz ekvivalentiem materiāliem, tad Būvuzraugs izvērtē to atbilstību normatīvo aktu, Būvprojekta un Pasūtītāja prasībām un sniedz Pasūtītājam ziņojumu. </w:t>
      </w:r>
    </w:p>
    <w:p w14:paraId="1E925A77"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Izpildītājam ir jānodrošina testēto būvmateriālu paraugu viltošanas iespējas izslēgšana, to uzskaite, glabāšana līdz nodošanas ekspluatācijā akta parakstīšanai un nogādāšana Pasūtītāja norādītā vietā</w:t>
      </w:r>
    </w:p>
    <w:bookmarkEnd w:id="2"/>
    <w:p w14:paraId="324B3219"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rPr>
        <w:t>Pieņem tikai tos darbus, kas izpildīti atbilstoši Būvprojektam un B</w:t>
      </w:r>
      <w:r w:rsidRPr="00E93369">
        <w:rPr>
          <w:rFonts w:ascii="Times New Roman" w:hAnsi="Times New Roman"/>
          <w:color w:val="000000"/>
          <w:sz w:val="24"/>
          <w:szCs w:val="24"/>
        </w:rPr>
        <w:t xml:space="preserve">ūvprojekta </w:t>
      </w:r>
      <w:proofErr w:type="spellStart"/>
      <w:r w:rsidRPr="00E93369">
        <w:rPr>
          <w:rFonts w:ascii="Times New Roman" w:hAnsi="Times New Roman"/>
          <w:color w:val="000000"/>
          <w:sz w:val="24"/>
          <w:szCs w:val="24"/>
        </w:rPr>
        <w:t>autoruzrauga</w:t>
      </w:r>
      <w:proofErr w:type="spellEnd"/>
      <w:r w:rsidRPr="00E93369">
        <w:rPr>
          <w:rFonts w:ascii="Times New Roman" w:hAnsi="Times New Roman"/>
          <w:color w:val="000000"/>
          <w:sz w:val="24"/>
          <w:szCs w:val="24"/>
        </w:rPr>
        <w:t xml:space="preserve"> papildinājumiem, kas iepriekš saskaņoti ar Pasūtītāju</w:t>
      </w:r>
      <w:r w:rsidRPr="00E93369">
        <w:rPr>
          <w:rFonts w:ascii="Times New Roman" w:hAnsi="Times New Roman"/>
          <w:sz w:val="24"/>
          <w:szCs w:val="24"/>
        </w:rPr>
        <w:t xml:space="preserve">. </w:t>
      </w:r>
    </w:p>
    <w:p w14:paraId="09CDB357"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bookmarkStart w:id="4" w:name="_Hlk493665717"/>
      <w:bookmarkEnd w:id="3"/>
      <w:r w:rsidRPr="00E93369">
        <w:rPr>
          <w:rFonts w:ascii="Times New Roman" w:hAnsi="Times New Roman"/>
          <w:sz w:val="24"/>
          <w:szCs w:val="24"/>
          <w:lang w:eastAsia="ar-SA"/>
        </w:rPr>
        <w:t xml:space="preserve">Aizsargāt Pasūtītāja intereses saistībā ar Būvdarbu veicēja prasījumiem pēc izpildes termiņa pagarinājuma vai papildu izmaksu kompensācijas, kā arī saistībā ar Būvdarbu līguma ievērošanu un tajā noteikto pienākumu izpildi. </w:t>
      </w:r>
    </w:p>
    <w:bookmarkEnd w:id="4"/>
    <w:p w14:paraId="3365C44F"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Nekavējoties informēt Pasūtītāju par jebkādiem apstākļiem vai strīdiem, kuros nepieciešams iesaistīties Pasūtītājam.</w:t>
      </w:r>
    </w:p>
    <w:p w14:paraId="6228CAE9"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Izskatīt un atbildēt Būvdarbu veicēja iesniegtos prasījumus un informēt Pasūtītāju par prasījumu noraidīšanas vai samazināšanas iespējām.</w:t>
      </w:r>
    </w:p>
    <w:p w14:paraId="51FD4009"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Nepieciešamības gadījumā informēt Pasūtītāju par nepieciešamību un/vai iespēju piemērot Būvdarbu līgumā noteiktos kavējuma sodus un/vai sodus par līguma noteikumu pārkāpumiem.</w:t>
      </w:r>
    </w:p>
    <w:p w14:paraId="5BFB223E" w14:textId="77777777" w:rsidR="007B6EFB" w:rsidRPr="00E93369" w:rsidRDefault="00AD59EC" w:rsidP="007B6EFB">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lastRenderedPageBreak/>
        <w:t xml:space="preserve">Pirms Būvobjektu nodošanas ekspluatācijā nodrošināt pilnu </w:t>
      </w:r>
      <w:proofErr w:type="spellStart"/>
      <w:r w:rsidRPr="00E93369">
        <w:rPr>
          <w:rFonts w:ascii="Times New Roman" w:hAnsi="Times New Roman"/>
          <w:sz w:val="24"/>
          <w:szCs w:val="24"/>
          <w:lang w:eastAsia="ar-SA"/>
        </w:rPr>
        <w:t>izpilddokumentācijas</w:t>
      </w:r>
      <w:proofErr w:type="spellEnd"/>
      <w:r w:rsidRPr="00E93369">
        <w:rPr>
          <w:rFonts w:ascii="Times New Roman" w:hAnsi="Times New Roman"/>
          <w:sz w:val="24"/>
          <w:szCs w:val="24"/>
          <w:lang w:eastAsia="ar-SA"/>
        </w:rPr>
        <w:t xml:space="preserve"> saskaņošanu un apstiprināšanu;</w:t>
      </w:r>
      <w:bookmarkStart w:id="5" w:name="_Hlk493664865"/>
    </w:p>
    <w:p w14:paraId="700CB18C" w14:textId="1E9EAD95" w:rsidR="007B6EFB" w:rsidRPr="00E93369" w:rsidRDefault="007B6EFB" w:rsidP="007B6EFB">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rPr>
        <w:t xml:space="preserve">Līdz katra mēneša 10. datuma </w:t>
      </w:r>
      <w:r w:rsidR="00E93369" w:rsidRPr="00E93369">
        <w:rPr>
          <w:rFonts w:ascii="Times New Roman" w:hAnsi="Times New Roman"/>
          <w:sz w:val="24"/>
          <w:szCs w:val="24"/>
        </w:rPr>
        <w:t>iesniegt</w:t>
      </w:r>
      <w:r w:rsidRPr="00E93369">
        <w:rPr>
          <w:rFonts w:ascii="Times New Roman" w:hAnsi="Times New Roman"/>
          <w:sz w:val="24"/>
          <w:szCs w:val="24"/>
        </w:rPr>
        <w:t xml:space="preserve"> ikmēneša atskait</w:t>
      </w:r>
      <w:r w:rsidR="00E93369" w:rsidRPr="00E93369">
        <w:rPr>
          <w:rFonts w:ascii="Times New Roman" w:hAnsi="Times New Roman"/>
          <w:sz w:val="24"/>
          <w:szCs w:val="24"/>
        </w:rPr>
        <w:t>i</w:t>
      </w:r>
      <w:r w:rsidRPr="00E93369">
        <w:rPr>
          <w:rFonts w:ascii="Times New Roman" w:hAnsi="Times New Roman"/>
          <w:sz w:val="24"/>
          <w:szCs w:val="24"/>
        </w:rPr>
        <w:t xml:space="preserve"> par iepriekšējo mēnesi, iekļaujot informāciju par Būvdarbu gaitu, to atbilstību laika grafikam, novirzēm no tā, Objektā paveiktajiem darbiem, to apjomu, par būvizstrādājumu atbilstību Būvprojektam, </w:t>
      </w:r>
      <w:proofErr w:type="spellStart"/>
      <w:r w:rsidRPr="00E93369">
        <w:rPr>
          <w:rFonts w:ascii="Times New Roman" w:hAnsi="Times New Roman"/>
          <w:sz w:val="24"/>
          <w:szCs w:val="24"/>
        </w:rPr>
        <w:t>fotofiksācijas</w:t>
      </w:r>
      <w:proofErr w:type="spellEnd"/>
      <w:r w:rsidRPr="00E93369">
        <w:rPr>
          <w:rFonts w:ascii="Times New Roman" w:hAnsi="Times New Roman"/>
          <w:sz w:val="24"/>
          <w:szCs w:val="24"/>
        </w:rPr>
        <w:t xml:space="preserve">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14:paraId="21505CF4" w14:textId="77777777"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r w:rsidRPr="00E93369">
        <w:rPr>
          <w:rFonts w:ascii="Times New Roman" w:hAnsi="Times New Roman"/>
          <w:sz w:val="24"/>
          <w:szCs w:val="24"/>
          <w:lang w:eastAsia="ar-SA"/>
        </w:rPr>
        <w:t>Ne vēlāk kā 10 (desmit) dienas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Būvuzņēmēju un Pasūtītāju;</w:t>
      </w:r>
    </w:p>
    <w:p w14:paraId="1E0798AE" w14:textId="3B838371" w:rsidR="00AD59EC" w:rsidRPr="00E93369" w:rsidRDefault="00AD59EC" w:rsidP="00AD59EC">
      <w:pPr>
        <w:numPr>
          <w:ilvl w:val="0"/>
          <w:numId w:val="1"/>
        </w:numPr>
        <w:suppressAutoHyphens/>
        <w:spacing w:after="0" w:line="240" w:lineRule="auto"/>
        <w:ind w:left="426" w:hanging="426"/>
        <w:jc w:val="both"/>
        <w:rPr>
          <w:rFonts w:ascii="Times New Roman" w:hAnsi="Times New Roman"/>
          <w:sz w:val="24"/>
          <w:szCs w:val="24"/>
        </w:rPr>
      </w:pPr>
      <w:bookmarkStart w:id="6" w:name="_Hlk493666428"/>
      <w:bookmarkEnd w:id="5"/>
      <w:r w:rsidRPr="00E93369">
        <w:rPr>
          <w:rFonts w:ascii="Times New Roman" w:hAnsi="Times New Roman"/>
          <w:sz w:val="24"/>
          <w:szCs w:val="24"/>
        </w:rPr>
        <w:t>Būvuzraugam būvdarbu garantijas laikā</w:t>
      </w:r>
      <w:r w:rsidR="00E45661" w:rsidRPr="00E93369">
        <w:rPr>
          <w:rFonts w:ascii="Times New Roman" w:hAnsi="Times New Roman"/>
          <w:sz w:val="24"/>
          <w:szCs w:val="24"/>
        </w:rPr>
        <w:t>,</w:t>
      </w:r>
      <w:r w:rsidRPr="00E93369">
        <w:rPr>
          <w:rFonts w:ascii="Times New Roman" w:hAnsi="Times New Roman"/>
          <w:sz w:val="24"/>
          <w:szCs w:val="24"/>
        </w:rPr>
        <w:t xml:space="preserve"> pēc objekta nodošanas ekspluatācijā</w:t>
      </w:r>
      <w:bookmarkStart w:id="7" w:name="_GoBack"/>
      <w:bookmarkEnd w:id="7"/>
      <w:r w:rsidRPr="00E93369">
        <w:rPr>
          <w:rFonts w:ascii="Times New Roman" w:hAnsi="Times New Roman"/>
          <w:sz w:val="24"/>
          <w:szCs w:val="24"/>
        </w:rPr>
        <w:t xml:space="preserve">, </w:t>
      </w:r>
      <w:r w:rsidR="00E45661" w:rsidRPr="00E93369">
        <w:rPr>
          <w:rFonts w:ascii="Times New Roman" w:hAnsi="Times New Roman"/>
          <w:sz w:val="24"/>
          <w:szCs w:val="24"/>
        </w:rPr>
        <w:t xml:space="preserve">reizi gadā pēc ziemas sezonas un </w:t>
      </w:r>
      <w:r w:rsidRPr="00E93369">
        <w:rPr>
          <w:rFonts w:ascii="Times New Roman" w:hAnsi="Times New Roman"/>
          <w:sz w:val="24"/>
          <w:szCs w:val="24"/>
        </w:rPr>
        <w:t>pēc Pasūtītāja pieprasījuma jāpiedalās defektu konstatēšanā</w:t>
      </w:r>
      <w:r w:rsidR="00DB6309" w:rsidRPr="00E93369">
        <w:rPr>
          <w:rFonts w:ascii="Times New Roman" w:hAnsi="Times New Roman"/>
          <w:sz w:val="24"/>
          <w:szCs w:val="24"/>
        </w:rPr>
        <w:t>,</w:t>
      </w:r>
      <w:r w:rsidRPr="00E93369">
        <w:rPr>
          <w:rFonts w:ascii="Times New Roman" w:hAnsi="Times New Roman"/>
          <w:sz w:val="24"/>
          <w:szCs w:val="24"/>
        </w:rPr>
        <w:t xml:space="preserve"> </w:t>
      </w:r>
      <w:r w:rsidRPr="00E93369">
        <w:rPr>
          <w:rFonts w:ascii="Times New Roman" w:hAnsi="Times New Roman"/>
          <w:bCs/>
          <w:sz w:val="24"/>
          <w:szCs w:val="24"/>
        </w:rPr>
        <w:t>un jāpiedalās šo novērsto defektu pieņemšanā kopīgi ar Pasūtītāju.</w:t>
      </w:r>
      <w:bookmarkEnd w:id="6"/>
    </w:p>
    <w:p w14:paraId="772B5EDB" w14:textId="55E2EAB9" w:rsidR="007B6EFB" w:rsidRPr="00E93369" w:rsidRDefault="007B6EFB" w:rsidP="007B6EFB">
      <w:pPr>
        <w:suppressAutoHyphens/>
        <w:spacing w:after="0" w:line="240" w:lineRule="auto"/>
        <w:jc w:val="both"/>
        <w:rPr>
          <w:rFonts w:ascii="Times New Roman" w:hAnsi="Times New Roman"/>
          <w:sz w:val="24"/>
          <w:szCs w:val="24"/>
        </w:rPr>
      </w:pPr>
    </w:p>
    <w:p w14:paraId="0B97F2E1" w14:textId="77777777" w:rsidR="007B6EFB" w:rsidRPr="00E93369" w:rsidRDefault="007B6EFB" w:rsidP="007B6EFB">
      <w:pPr>
        <w:jc w:val="both"/>
        <w:rPr>
          <w:rFonts w:ascii="Times New Roman" w:hAnsi="Times New Roman"/>
          <w:sz w:val="24"/>
          <w:szCs w:val="24"/>
        </w:rPr>
      </w:pPr>
      <w:r w:rsidRPr="00E93369">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7B6EFB" w:rsidRPr="00E93369" w14:paraId="4917E62E" w14:textId="77777777" w:rsidTr="00F14F92">
        <w:trPr>
          <w:trHeight w:val="347"/>
        </w:trPr>
        <w:tc>
          <w:tcPr>
            <w:tcW w:w="2585" w:type="dxa"/>
            <w:hideMark/>
          </w:tcPr>
          <w:p w14:paraId="5F4D5104" w14:textId="77777777" w:rsidR="007B6EFB" w:rsidRPr="00E93369" w:rsidRDefault="007B6EFB" w:rsidP="00F14F92">
            <w:pPr>
              <w:rPr>
                <w:rFonts w:ascii="Times New Roman" w:hAnsi="Times New Roman"/>
                <w:sz w:val="24"/>
                <w:szCs w:val="24"/>
                <w:lang w:eastAsia="en-US"/>
              </w:rPr>
            </w:pPr>
            <w:r w:rsidRPr="00E93369">
              <w:rPr>
                <w:rFonts w:ascii="Times New Roman" w:hAnsi="Times New Roman"/>
                <w:i/>
                <w:sz w:val="24"/>
                <w:szCs w:val="24"/>
              </w:rPr>
              <w:br w:type="page"/>
            </w:r>
            <w:r w:rsidRPr="00E93369">
              <w:rPr>
                <w:rFonts w:ascii="Times New Roman" w:hAnsi="Times New Roman"/>
                <w:sz w:val="24"/>
                <w:szCs w:val="24"/>
                <w:lang w:eastAsia="en-US"/>
              </w:rPr>
              <w:t>Vārds, uzvārds, amats</w:t>
            </w:r>
          </w:p>
        </w:tc>
        <w:tc>
          <w:tcPr>
            <w:tcW w:w="6487" w:type="dxa"/>
          </w:tcPr>
          <w:p w14:paraId="3429F7E5" w14:textId="77777777" w:rsidR="007B6EFB" w:rsidRPr="00E93369" w:rsidRDefault="007B6EFB" w:rsidP="00F14F92">
            <w:pPr>
              <w:rPr>
                <w:rFonts w:ascii="Times New Roman" w:hAnsi="Times New Roman"/>
                <w:sz w:val="24"/>
                <w:szCs w:val="24"/>
                <w:lang w:eastAsia="en-US"/>
              </w:rPr>
            </w:pPr>
          </w:p>
        </w:tc>
      </w:tr>
      <w:tr w:rsidR="007B6EFB" w:rsidRPr="00E93369" w14:paraId="6E8B9A29" w14:textId="77777777" w:rsidTr="00F14F92">
        <w:trPr>
          <w:trHeight w:val="410"/>
        </w:trPr>
        <w:tc>
          <w:tcPr>
            <w:tcW w:w="2585" w:type="dxa"/>
            <w:hideMark/>
          </w:tcPr>
          <w:p w14:paraId="34E65252" w14:textId="77777777" w:rsidR="007B6EFB" w:rsidRPr="00E93369" w:rsidRDefault="007B6EFB" w:rsidP="00F14F92">
            <w:pPr>
              <w:rPr>
                <w:rFonts w:ascii="Times New Roman" w:hAnsi="Times New Roman"/>
                <w:sz w:val="24"/>
                <w:szCs w:val="24"/>
                <w:lang w:eastAsia="en-US"/>
              </w:rPr>
            </w:pPr>
            <w:r w:rsidRPr="00E93369">
              <w:rPr>
                <w:rFonts w:ascii="Times New Roman" w:hAnsi="Times New Roman"/>
                <w:sz w:val="24"/>
                <w:szCs w:val="24"/>
                <w:lang w:eastAsia="en-US"/>
              </w:rPr>
              <w:t>Paraksts</w:t>
            </w:r>
          </w:p>
        </w:tc>
        <w:tc>
          <w:tcPr>
            <w:tcW w:w="6487" w:type="dxa"/>
          </w:tcPr>
          <w:p w14:paraId="02F0E4F1" w14:textId="77777777" w:rsidR="007B6EFB" w:rsidRPr="00E93369" w:rsidRDefault="007B6EFB" w:rsidP="00F14F92">
            <w:pPr>
              <w:rPr>
                <w:rFonts w:ascii="Times New Roman" w:hAnsi="Times New Roman"/>
                <w:sz w:val="24"/>
                <w:szCs w:val="24"/>
                <w:lang w:eastAsia="en-US"/>
              </w:rPr>
            </w:pPr>
          </w:p>
        </w:tc>
      </w:tr>
      <w:tr w:rsidR="007B6EFB" w:rsidRPr="00E93369" w14:paraId="15D2F7B6" w14:textId="77777777" w:rsidTr="00F14F92">
        <w:tc>
          <w:tcPr>
            <w:tcW w:w="2585" w:type="dxa"/>
            <w:hideMark/>
          </w:tcPr>
          <w:p w14:paraId="7CA601F7" w14:textId="77777777" w:rsidR="007B6EFB" w:rsidRPr="00E93369" w:rsidRDefault="007B6EFB" w:rsidP="00F14F92">
            <w:pPr>
              <w:rPr>
                <w:rFonts w:ascii="Times New Roman" w:hAnsi="Times New Roman"/>
                <w:sz w:val="24"/>
                <w:szCs w:val="24"/>
                <w:lang w:eastAsia="en-US"/>
              </w:rPr>
            </w:pPr>
            <w:r w:rsidRPr="00E93369">
              <w:rPr>
                <w:rFonts w:ascii="Times New Roman" w:hAnsi="Times New Roman"/>
                <w:sz w:val="24"/>
                <w:szCs w:val="24"/>
                <w:lang w:eastAsia="en-US"/>
              </w:rPr>
              <w:t>Vieta, Datums</w:t>
            </w:r>
          </w:p>
        </w:tc>
        <w:tc>
          <w:tcPr>
            <w:tcW w:w="6487" w:type="dxa"/>
          </w:tcPr>
          <w:p w14:paraId="07A6673B" w14:textId="77777777" w:rsidR="007B6EFB" w:rsidRPr="00E93369" w:rsidRDefault="007B6EFB" w:rsidP="00F14F92">
            <w:pPr>
              <w:rPr>
                <w:rFonts w:ascii="Times New Roman" w:hAnsi="Times New Roman"/>
                <w:sz w:val="24"/>
                <w:szCs w:val="24"/>
                <w:lang w:eastAsia="en-US"/>
              </w:rPr>
            </w:pPr>
          </w:p>
        </w:tc>
      </w:tr>
    </w:tbl>
    <w:p w14:paraId="5975BA36" w14:textId="77777777" w:rsidR="007B6EFB" w:rsidRPr="00E93369" w:rsidRDefault="007B6EFB" w:rsidP="007B6EFB">
      <w:pPr>
        <w:rPr>
          <w:rFonts w:ascii="Times New Roman" w:hAnsi="Times New Roman"/>
          <w:sz w:val="24"/>
          <w:szCs w:val="24"/>
        </w:rPr>
      </w:pPr>
    </w:p>
    <w:p w14:paraId="14759332" w14:textId="77777777" w:rsidR="007B6EFB" w:rsidRPr="00E93369" w:rsidRDefault="007B6EFB" w:rsidP="007B6EFB">
      <w:pPr>
        <w:spacing w:after="0" w:line="240" w:lineRule="auto"/>
        <w:jc w:val="both"/>
        <w:rPr>
          <w:rFonts w:ascii="Times New Roman" w:hAnsi="Times New Roman"/>
          <w:sz w:val="24"/>
          <w:szCs w:val="24"/>
        </w:rPr>
      </w:pPr>
    </w:p>
    <w:p w14:paraId="7D539C16" w14:textId="77777777" w:rsidR="007B6EFB" w:rsidRPr="00E93369" w:rsidRDefault="007B6EFB" w:rsidP="007B6EFB">
      <w:pPr>
        <w:suppressAutoHyphens/>
        <w:spacing w:after="0" w:line="240" w:lineRule="auto"/>
        <w:jc w:val="both"/>
        <w:rPr>
          <w:rFonts w:ascii="Times New Roman" w:hAnsi="Times New Roman"/>
          <w:sz w:val="24"/>
          <w:szCs w:val="24"/>
        </w:rPr>
      </w:pPr>
    </w:p>
    <w:sectPr w:rsidR="007B6EFB" w:rsidRPr="00E933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B7E"/>
    <w:multiLevelType w:val="multilevel"/>
    <w:tmpl w:val="C5247838"/>
    <w:lvl w:ilvl="0">
      <w:start w:val="29"/>
      <w:numFmt w:val="decimal"/>
      <w:lvlText w:val="%1."/>
      <w:lvlJc w:val="left"/>
      <w:pPr>
        <w:ind w:left="480" w:hanging="480"/>
      </w:pPr>
      <w:rPr>
        <w:rFonts w:hint="default"/>
        <w:b w:val="0"/>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 w15:restartNumberingAfterBreak="0">
    <w:nsid w:val="2C8C3CC2"/>
    <w:multiLevelType w:val="multilevel"/>
    <w:tmpl w:val="B3124DC4"/>
    <w:lvl w:ilvl="0">
      <w:start w:val="28"/>
      <w:numFmt w:val="decimal"/>
      <w:lvlText w:val="%1."/>
      <w:lvlJc w:val="left"/>
      <w:pPr>
        <w:ind w:left="480" w:hanging="480"/>
      </w:pPr>
      <w:rPr>
        <w:rFonts w:cs="Times New Roman" w:hint="default"/>
        <w:b/>
        <w:u w:val="single"/>
      </w:rPr>
    </w:lvl>
    <w:lvl w:ilvl="1">
      <w:start w:val="1"/>
      <w:numFmt w:val="decimal"/>
      <w:lvlText w:val="%1.%2."/>
      <w:lvlJc w:val="left"/>
      <w:pPr>
        <w:ind w:left="1560" w:hanging="480"/>
      </w:pPr>
      <w:rPr>
        <w:rFonts w:cs="Times New Roman" w:hint="default"/>
        <w:b w:val="0"/>
        <w:u w:val="non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3960" w:hanging="720"/>
      </w:pPr>
      <w:rPr>
        <w:rFonts w:cs="Times New Roman" w:hint="default"/>
        <w:b/>
        <w:u w:val="single"/>
      </w:rPr>
    </w:lvl>
    <w:lvl w:ilvl="4">
      <w:start w:val="1"/>
      <w:numFmt w:val="decimal"/>
      <w:lvlText w:val="%1.%2.%3.%4.%5."/>
      <w:lvlJc w:val="left"/>
      <w:pPr>
        <w:ind w:left="5400" w:hanging="1080"/>
      </w:pPr>
      <w:rPr>
        <w:rFonts w:cs="Times New Roman" w:hint="default"/>
        <w:b/>
        <w:u w:val="single"/>
      </w:rPr>
    </w:lvl>
    <w:lvl w:ilvl="5">
      <w:start w:val="1"/>
      <w:numFmt w:val="decimal"/>
      <w:lvlText w:val="%1.%2.%3.%4.%5.%6."/>
      <w:lvlJc w:val="left"/>
      <w:pPr>
        <w:ind w:left="6480" w:hanging="1080"/>
      </w:pPr>
      <w:rPr>
        <w:rFonts w:cs="Times New Roman" w:hint="default"/>
        <w:b/>
        <w:u w:val="single"/>
      </w:rPr>
    </w:lvl>
    <w:lvl w:ilvl="6">
      <w:start w:val="1"/>
      <w:numFmt w:val="decimal"/>
      <w:lvlText w:val="%1.%2.%3.%4.%5.%6.%7."/>
      <w:lvlJc w:val="left"/>
      <w:pPr>
        <w:ind w:left="7920" w:hanging="1440"/>
      </w:pPr>
      <w:rPr>
        <w:rFonts w:cs="Times New Roman" w:hint="default"/>
        <w:b/>
        <w:u w:val="single"/>
      </w:rPr>
    </w:lvl>
    <w:lvl w:ilvl="7">
      <w:start w:val="1"/>
      <w:numFmt w:val="decimal"/>
      <w:lvlText w:val="%1.%2.%3.%4.%5.%6.%7.%8."/>
      <w:lvlJc w:val="left"/>
      <w:pPr>
        <w:ind w:left="9000" w:hanging="1440"/>
      </w:pPr>
      <w:rPr>
        <w:rFonts w:cs="Times New Roman" w:hint="default"/>
        <w:b/>
        <w:u w:val="single"/>
      </w:rPr>
    </w:lvl>
    <w:lvl w:ilvl="8">
      <w:start w:val="1"/>
      <w:numFmt w:val="decimal"/>
      <w:lvlText w:val="%1.%2.%3.%4.%5.%6.%7.%8.%9."/>
      <w:lvlJc w:val="left"/>
      <w:pPr>
        <w:ind w:left="10440" w:hanging="1800"/>
      </w:pPr>
      <w:rPr>
        <w:rFonts w:cs="Times New Roman" w:hint="default"/>
        <w:b/>
        <w:u w:val="single"/>
      </w:rPr>
    </w:lvl>
  </w:abstractNum>
  <w:abstractNum w:abstractNumId="2" w15:restartNumberingAfterBreak="0">
    <w:nsid w:val="2D915719"/>
    <w:multiLevelType w:val="hybridMultilevel"/>
    <w:tmpl w:val="D2DE464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CAC4701"/>
    <w:multiLevelType w:val="hybridMultilevel"/>
    <w:tmpl w:val="6DF60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866DE3"/>
    <w:multiLevelType w:val="multilevel"/>
    <w:tmpl w:val="2AB00DCE"/>
    <w:lvl w:ilvl="0">
      <w:start w:val="1"/>
      <w:numFmt w:val="decimal"/>
      <w:lvlText w:val="%1."/>
      <w:lvlJc w:val="left"/>
      <w:pPr>
        <w:ind w:left="720" w:hanging="360"/>
      </w:pPr>
      <w:rPr>
        <w:rFonts w:cs="Times New Roman"/>
        <w:sz w:val="24"/>
        <w:szCs w:val="24"/>
      </w:rPr>
    </w:lvl>
    <w:lvl w:ilvl="1">
      <w:start w:val="1"/>
      <w:numFmt w:val="decimal"/>
      <w:isLgl/>
      <w:lvlText w:val="%1.%2."/>
      <w:lvlJc w:val="left"/>
      <w:pPr>
        <w:ind w:left="720" w:hanging="360"/>
      </w:pPr>
      <w:rPr>
        <w:rFonts w:cs="Times New Roman"/>
        <w:color w:val="auto"/>
        <w:sz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81"/>
    <w:rsid w:val="00086765"/>
    <w:rsid w:val="0014524E"/>
    <w:rsid w:val="001850CA"/>
    <w:rsid w:val="00292B11"/>
    <w:rsid w:val="002A5461"/>
    <w:rsid w:val="002D4881"/>
    <w:rsid w:val="00683A0E"/>
    <w:rsid w:val="007B6EFB"/>
    <w:rsid w:val="00A75A8E"/>
    <w:rsid w:val="00AC077C"/>
    <w:rsid w:val="00AD59EC"/>
    <w:rsid w:val="00C04A50"/>
    <w:rsid w:val="00DB6309"/>
    <w:rsid w:val="00E16967"/>
    <w:rsid w:val="00E45661"/>
    <w:rsid w:val="00E93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9F21"/>
  <w15:chartTrackingRefBased/>
  <w15:docId w15:val="{4A0CECDF-3DDA-4D93-A5A3-9EE529F1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D59EC"/>
    <w:rPr>
      <w:rFonts w:eastAsiaTheme="minorEastAsia"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59EC"/>
    <w:pPr>
      <w:ind w:left="720"/>
      <w:contextualSpacing/>
    </w:pPr>
  </w:style>
  <w:style w:type="paragraph" w:styleId="Pamatteksts">
    <w:name w:val="Body Text"/>
    <w:aliases w:val="b,uvlaka 3,plain,plain Char,b1,uvlaka 31, uvlaka 3, uvlaka 31,Body Text Char1,Body Text Char Char,Body Text1"/>
    <w:basedOn w:val="Parasts"/>
    <w:link w:val="PamattekstsRakstz"/>
    <w:rsid w:val="00C04A50"/>
    <w:pPr>
      <w:widowControl w:val="0"/>
      <w:spacing w:after="120" w:line="240" w:lineRule="auto"/>
    </w:pPr>
    <w:rPr>
      <w:rFonts w:ascii="RimTimes" w:eastAsia="Times New Roman"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04A50"/>
    <w:rPr>
      <w:rFonts w:ascii="RimTimes" w:eastAsia="Times New Roman" w:hAnsi="RimTimes" w:cs="Times New Roman"/>
      <w:sz w:val="24"/>
      <w:szCs w:val="20"/>
      <w:lang w:val="en-US"/>
    </w:rPr>
  </w:style>
  <w:style w:type="paragraph" w:styleId="Galvene">
    <w:name w:val="header"/>
    <w:basedOn w:val="Parasts"/>
    <w:link w:val="GalveneRakstz"/>
    <w:rsid w:val="00C04A50"/>
    <w:pPr>
      <w:tabs>
        <w:tab w:val="center" w:pos="4153"/>
        <w:tab w:val="right" w:pos="8306"/>
      </w:tabs>
      <w:spacing w:after="0" w:line="240" w:lineRule="auto"/>
    </w:pPr>
    <w:rPr>
      <w:rFonts w:ascii="Times New Roman" w:eastAsia="Times New Roman" w:hAnsi="Times New Roman"/>
      <w:sz w:val="24"/>
      <w:szCs w:val="24"/>
      <w:lang w:val="en-GB" w:eastAsia="en-US"/>
    </w:rPr>
  </w:style>
  <w:style w:type="character" w:customStyle="1" w:styleId="GalveneRakstz">
    <w:name w:val="Galvene Rakstz."/>
    <w:basedOn w:val="Noklusjumarindkopasfonts"/>
    <w:link w:val="Galvene"/>
    <w:rsid w:val="00C04A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4749</Words>
  <Characters>2707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15</cp:revision>
  <dcterms:created xsi:type="dcterms:W3CDTF">2018-01-31T14:07:00Z</dcterms:created>
  <dcterms:modified xsi:type="dcterms:W3CDTF">2018-07-04T13:45:00Z</dcterms:modified>
</cp:coreProperties>
</file>