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1B" w:rsidRPr="003D40B5" w:rsidRDefault="001E741B" w:rsidP="003D40B5">
      <w:pPr>
        <w:pStyle w:val="Pamatteksts"/>
        <w:spacing w:after="0"/>
        <w:jc w:val="right"/>
        <w:rPr>
          <w:rFonts w:ascii="Times New Roman" w:hAnsi="Times New Roman"/>
          <w:szCs w:val="24"/>
          <w:lang w:val="lv-LV"/>
        </w:rPr>
      </w:pPr>
      <w:r w:rsidRPr="003D40B5">
        <w:rPr>
          <w:rFonts w:ascii="Times New Roman" w:hAnsi="Times New Roman"/>
          <w:szCs w:val="24"/>
          <w:lang w:val="lv-LV"/>
        </w:rPr>
        <w:t>Pielikums Nr.</w:t>
      </w:r>
      <w:r w:rsidR="00195851" w:rsidRPr="003D40B5">
        <w:rPr>
          <w:rFonts w:ascii="Times New Roman" w:hAnsi="Times New Roman"/>
          <w:szCs w:val="24"/>
          <w:lang w:val="lv-LV"/>
        </w:rPr>
        <w:t>8</w:t>
      </w:r>
    </w:p>
    <w:p w:rsidR="003D40B5" w:rsidRPr="003D40B5" w:rsidRDefault="003D40B5" w:rsidP="003D40B5">
      <w:pPr>
        <w:pStyle w:val="Pamatteksts"/>
        <w:spacing w:after="0"/>
        <w:jc w:val="right"/>
        <w:rPr>
          <w:rFonts w:ascii="Times New Roman" w:hAnsi="Times New Roman"/>
          <w:szCs w:val="24"/>
          <w:lang w:val="lv-LV"/>
        </w:rPr>
      </w:pPr>
      <w:r w:rsidRPr="003D40B5">
        <w:rPr>
          <w:rFonts w:ascii="Times New Roman" w:hAnsi="Times New Roman"/>
          <w:szCs w:val="24"/>
          <w:lang w:val="lv-LV"/>
        </w:rPr>
        <w:t xml:space="preserve">Atklāta konkursa </w:t>
      </w:r>
    </w:p>
    <w:p w:rsidR="003D40B5" w:rsidRPr="003D40B5" w:rsidRDefault="003D40B5" w:rsidP="003D40B5">
      <w:pPr>
        <w:pStyle w:val="Galvene"/>
        <w:jc w:val="right"/>
        <w:rPr>
          <w:lang w:val="lv-LV"/>
        </w:rPr>
      </w:pPr>
      <w:r w:rsidRPr="003D40B5">
        <w:rPr>
          <w:lang w:val="lv-LV"/>
        </w:rPr>
        <w:t>“Pils ielas pārbūve Cesvainē”</w:t>
      </w:r>
    </w:p>
    <w:p w:rsidR="003D40B5" w:rsidRPr="003D40B5" w:rsidRDefault="003D40B5" w:rsidP="003D40B5">
      <w:pPr>
        <w:pStyle w:val="Sarakstarindkopa"/>
        <w:ind w:left="480"/>
        <w:jc w:val="right"/>
        <w:rPr>
          <w:rFonts w:ascii="Times New Roman" w:hAnsi="Times New Roman"/>
          <w:b/>
          <w:sz w:val="24"/>
          <w:szCs w:val="24"/>
        </w:rPr>
      </w:pPr>
      <w:r w:rsidRPr="003D40B5">
        <w:rPr>
          <w:rFonts w:ascii="Times New Roman" w:hAnsi="Times New Roman"/>
          <w:sz w:val="24"/>
          <w:szCs w:val="24"/>
        </w:rPr>
        <w:t>identifikācijas Nr. CND 2018/3,</w:t>
      </w:r>
      <w:proofErr w:type="gramStart"/>
      <w:r w:rsidRPr="003D40B5">
        <w:rPr>
          <w:rFonts w:ascii="Times New Roman" w:hAnsi="Times New Roman"/>
          <w:sz w:val="24"/>
          <w:szCs w:val="24"/>
        </w:rPr>
        <w:t xml:space="preserve">  </w:t>
      </w:r>
      <w:proofErr w:type="gramEnd"/>
      <w:r w:rsidRPr="003D40B5">
        <w:rPr>
          <w:rFonts w:ascii="Times New Roman" w:hAnsi="Times New Roman"/>
          <w:sz w:val="24"/>
          <w:szCs w:val="24"/>
        </w:rPr>
        <w:t>nolikumam</w:t>
      </w:r>
      <w:r w:rsidRPr="003D40B5">
        <w:rPr>
          <w:rFonts w:ascii="Times New Roman" w:hAnsi="Times New Roman"/>
          <w:b/>
          <w:sz w:val="24"/>
          <w:szCs w:val="24"/>
        </w:rPr>
        <w:t xml:space="preserve"> </w:t>
      </w:r>
    </w:p>
    <w:p w:rsidR="003D40B5" w:rsidRDefault="003D40B5" w:rsidP="003D40B5">
      <w:pPr>
        <w:pStyle w:val="Sarakstarindkopa"/>
        <w:ind w:left="480"/>
        <w:jc w:val="center"/>
        <w:rPr>
          <w:rFonts w:ascii="Times New Roman" w:hAnsi="Times New Roman"/>
          <w:b/>
          <w:sz w:val="24"/>
          <w:szCs w:val="24"/>
        </w:rPr>
      </w:pPr>
    </w:p>
    <w:p w:rsidR="00A15BE6" w:rsidRPr="00C82E28" w:rsidRDefault="00A15BE6" w:rsidP="003D40B5">
      <w:pPr>
        <w:pStyle w:val="Sarakstarindkopa"/>
        <w:ind w:left="480"/>
        <w:jc w:val="center"/>
        <w:rPr>
          <w:rFonts w:ascii="Times New Roman" w:hAnsi="Times New Roman"/>
          <w:b/>
          <w:sz w:val="24"/>
          <w:szCs w:val="24"/>
        </w:rPr>
      </w:pPr>
      <w:r w:rsidRPr="00C82E28">
        <w:rPr>
          <w:rFonts w:ascii="Times New Roman" w:hAnsi="Times New Roman"/>
          <w:b/>
          <w:sz w:val="24"/>
          <w:szCs w:val="24"/>
        </w:rPr>
        <w:t>PIEDĀVĀJUMA NODROŠINĀJUMA ATBILSTĪBAS NOTEIKUMI</w:t>
      </w:r>
    </w:p>
    <w:p w:rsidR="00A15BE6" w:rsidRPr="00C82E28" w:rsidRDefault="00A15BE6" w:rsidP="00A15BE6">
      <w:pPr>
        <w:ind w:left="851"/>
        <w:jc w:val="center"/>
        <w:rPr>
          <w:rFonts w:ascii="Times New Roman" w:hAnsi="Times New Roman"/>
          <w:sz w:val="24"/>
          <w:szCs w:val="24"/>
        </w:rPr>
      </w:pPr>
      <w:r>
        <w:rPr>
          <w:rFonts w:ascii="Times New Roman" w:hAnsi="Times New Roman"/>
          <w:sz w:val="24"/>
          <w:szCs w:val="24"/>
        </w:rPr>
        <w:t xml:space="preserve"> </w:t>
      </w:r>
    </w:p>
    <w:p w:rsidR="00A15BE6" w:rsidRPr="00B14024" w:rsidRDefault="00A15BE6" w:rsidP="00A15BE6">
      <w:pPr>
        <w:pStyle w:val="Sarakstarindkopa"/>
        <w:numPr>
          <w:ilvl w:val="0"/>
          <w:numId w:val="1"/>
        </w:numPr>
        <w:spacing w:after="0" w:line="240" w:lineRule="auto"/>
        <w:ind w:hanging="720"/>
        <w:jc w:val="both"/>
        <w:rPr>
          <w:rFonts w:ascii="Times New Roman" w:hAnsi="Times New Roman"/>
          <w:sz w:val="24"/>
          <w:szCs w:val="24"/>
        </w:rPr>
      </w:pPr>
      <w:r w:rsidRPr="00B14024">
        <w:rPr>
          <w:rFonts w:ascii="Times New Roman" w:hAnsi="Times New Roman"/>
          <w:sz w:val="24"/>
          <w:szCs w:val="24"/>
        </w:rPr>
        <w:t>Bankas garantijā ir jāietver sekojoša informācija un jāatbilst šādiem noteikumiem:</w:t>
      </w:r>
    </w:p>
    <w:p w:rsidR="00A15BE6" w:rsidRPr="00994DC8" w:rsidRDefault="00A15BE6" w:rsidP="00A15BE6">
      <w:pPr>
        <w:pStyle w:val="Style1"/>
        <w:rPr>
          <w:b w:val="0"/>
        </w:rPr>
      </w:pPr>
      <w:r w:rsidRPr="00994DC8">
        <w:rPr>
          <w:b w:val="0"/>
        </w:rPr>
        <w:t>1.1.garantijas devējs apņemas samaksāt Pasūtītājam garantijas summu, ja:</w:t>
      </w:r>
    </w:p>
    <w:p w:rsidR="00A15BE6" w:rsidRPr="00994DC8" w:rsidRDefault="00A15BE6" w:rsidP="00A15BE6">
      <w:pPr>
        <w:pStyle w:val="Style1"/>
        <w:ind w:left="1276" w:hanging="567"/>
        <w:rPr>
          <w:b w:val="0"/>
        </w:rPr>
      </w:pPr>
      <w:r w:rsidRPr="00994DC8">
        <w:rPr>
          <w:b w:val="0"/>
        </w:rPr>
        <w:t xml:space="preserve">1.1.1. pretendents atsauc savu piedāvājumu, kamēr ir spēkā piedāvājuma nodrošinājums; </w:t>
      </w:r>
    </w:p>
    <w:p w:rsidR="00A15BE6" w:rsidRPr="00994DC8" w:rsidRDefault="00A15BE6" w:rsidP="00A15BE6">
      <w:pPr>
        <w:pStyle w:val="Sarakstarindkopa"/>
        <w:numPr>
          <w:ilvl w:val="2"/>
          <w:numId w:val="2"/>
        </w:numPr>
        <w:autoSpaceDE w:val="0"/>
        <w:autoSpaceDN w:val="0"/>
        <w:adjustRightInd w:val="0"/>
        <w:spacing w:after="100" w:line="240" w:lineRule="auto"/>
        <w:ind w:left="1276" w:hanging="567"/>
        <w:jc w:val="both"/>
        <w:rPr>
          <w:rFonts w:ascii="Times New Roman" w:hAnsi="Times New Roman"/>
          <w:sz w:val="24"/>
          <w:szCs w:val="24"/>
        </w:rPr>
      </w:pPr>
      <w:r w:rsidRPr="00994DC8">
        <w:rPr>
          <w:rFonts w:ascii="Times New Roman" w:eastAsiaTheme="minorHAnsi" w:hAnsi="Times New Roman"/>
          <w:sz w:val="24"/>
          <w:szCs w:val="24"/>
          <w:lang w:eastAsia="en-US"/>
        </w:rPr>
        <w:t>pretendents, kuram piešķirtas iepirku</w:t>
      </w:r>
      <w:r>
        <w:rPr>
          <w:rFonts w:ascii="Times New Roman" w:eastAsiaTheme="minorHAnsi" w:hAnsi="Times New Roman"/>
          <w:sz w:val="24"/>
          <w:szCs w:val="24"/>
          <w:lang w:eastAsia="en-US"/>
        </w:rPr>
        <w:t>ma līguma slēgšanas tiesības,</w:t>
      </w:r>
      <w:proofErr w:type="gramStart"/>
      <w:r>
        <w:rPr>
          <w:rFonts w:ascii="Times New Roman" w:eastAsiaTheme="minorHAnsi" w:hAnsi="Times New Roman"/>
          <w:sz w:val="24"/>
          <w:szCs w:val="24"/>
          <w:lang w:eastAsia="en-US"/>
        </w:rPr>
        <w:t xml:space="preserve">  </w:t>
      </w:r>
      <w:r w:rsidRPr="00994DC8">
        <w:rPr>
          <w:rFonts w:ascii="Times New Roman" w:eastAsiaTheme="minorHAnsi" w:hAnsi="Times New Roman"/>
          <w:sz w:val="24"/>
          <w:szCs w:val="24"/>
          <w:lang w:eastAsia="en-US"/>
        </w:rPr>
        <w:t xml:space="preserve"> </w:t>
      </w:r>
      <w:proofErr w:type="gramEnd"/>
      <w:r w:rsidRPr="00994DC8">
        <w:rPr>
          <w:rFonts w:ascii="Times New Roman" w:eastAsiaTheme="minorHAnsi" w:hAnsi="Times New Roman"/>
          <w:sz w:val="24"/>
          <w:szCs w:val="24"/>
          <w:lang w:eastAsia="en-US"/>
        </w:rPr>
        <w:t>neparaksta iepirkuma līgumu pasūtītāja noteiktajā termiņā</w:t>
      </w:r>
    </w:p>
    <w:p w:rsidR="00A15BE6" w:rsidRPr="00994DC8" w:rsidRDefault="00A15BE6" w:rsidP="00A15BE6">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garantija ir spēkā iepirkuma nolikumā noteiktajā termiņā</w:t>
      </w:r>
    </w:p>
    <w:p w:rsidR="00A15BE6" w:rsidRPr="00994DC8" w:rsidRDefault="00A15BE6" w:rsidP="00A15BE6">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garantija no Pretendenta puses ir neatsaucama;</w:t>
      </w:r>
    </w:p>
    <w:p w:rsidR="00A15BE6" w:rsidRPr="00994DC8" w:rsidRDefault="00A15BE6" w:rsidP="00A15BE6">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Pasūtītājam nav jāpieprasa garantijas summa no Pretendenta pirms prasības iesniegšanas garantijas devējam;</w:t>
      </w:r>
    </w:p>
    <w:p w:rsidR="00A15BE6" w:rsidRPr="00994DC8" w:rsidRDefault="00A15BE6" w:rsidP="00A15BE6">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garantijai piemērojami Starptautiskās tirdzniecības kameras noteikumi „</w:t>
      </w:r>
      <w:proofErr w:type="spellStart"/>
      <w:r w:rsidRPr="00994DC8">
        <w:rPr>
          <w:rFonts w:ascii="Times New Roman" w:hAnsi="Times New Roman"/>
          <w:sz w:val="24"/>
          <w:szCs w:val="24"/>
        </w:rPr>
        <w:t>The</w:t>
      </w:r>
      <w:proofErr w:type="spellEnd"/>
      <w:r w:rsidRPr="00994DC8">
        <w:rPr>
          <w:rFonts w:ascii="Times New Roman" w:hAnsi="Times New Roman"/>
          <w:sz w:val="24"/>
          <w:szCs w:val="24"/>
        </w:rPr>
        <w:t xml:space="preserve"> ICC </w:t>
      </w:r>
      <w:proofErr w:type="spellStart"/>
      <w:r w:rsidRPr="00994DC8">
        <w:rPr>
          <w:rFonts w:ascii="Times New Roman" w:hAnsi="Times New Roman"/>
          <w:sz w:val="24"/>
          <w:szCs w:val="24"/>
        </w:rPr>
        <w:t>Uniform</w:t>
      </w:r>
      <w:proofErr w:type="spellEnd"/>
      <w:r w:rsidRPr="00994DC8">
        <w:rPr>
          <w:rFonts w:ascii="Times New Roman" w:hAnsi="Times New Roman"/>
          <w:sz w:val="24"/>
          <w:szCs w:val="24"/>
        </w:rPr>
        <w:t xml:space="preserve"> </w:t>
      </w:r>
      <w:proofErr w:type="spellStart"/>
      <w:r w:rsidRPr="00994DC8">
        <w:rPr>
          <w:rFonts w:ascii="Times New Roman" w:hAnsi="Times New Roman"/>
          <w:sz w:val="24"/>
          <w:szCs w:val="24"/>
        </w:rPr>
        <w:t>Rules</w:t>
      </w:r>
      <w:proofErr w:type="spellEnd"/>
      <w:r w:rsidRPr="00994DC8">
        <w:rPr>
          <w:rFonts w:ascii="Times New Roman" w:hAnsi="Times New Roman"/>
          <w:sz w:val="24"/>
          <w:szCs w:val="24"/>
        </w:rPr>
        <w:t xml:space="preserve"> </w:t>
      </w:r>
      <w:proofErr w:type="spellStart"/>
      <w:r w:rsidRPr="00994DC8">
        <w:rPr>
          <w:rFonts w:ascii="Times New Roman" w:hAnsi="Times New Roman"/>
          <w:sz w:val="24"/>
          <w:szCs w:val="24"/>
        </w:rPr>
        <w:t>for</w:t>
      </w:r>
      <w:proofErr w:type="spellEnd"/>
      <w:r w:rsidRPr="00994DC8">
        <w:rPr>
          <w:rFonts w:ascii="Times New Roman" w:hAnsi="Times New Roman"/>
          <w:sz w:val="24"/>
          <w:szCs w:val="24"/>
        </w:rPr>
        <w:t xml:space="preserve"> </w:t>
      </w:r>
      <w:proofErr w:type="spellStart"/>
      <w:r w:rsidRPr="00994DC8">
        <w:rPr>
          <w:rFonts w:ascii="Times New Roman" w:hAnsi="Times New Roman"/>
          <w:sz w:val="24"/>
          <w:szCs w:val="24"/>
        </w:rPr>
        <w:t>Demand</w:t>
      </w:r>
      <w:proofErr w:type="spellEnd"/>
      <w:r w:rsidRPr="00994DC8">
        <w:rPr>
          <w:rFonts w:ascii="Times New Roman" w:hAnsi="Times New Roman"/>
          <w:sz w:val="24"/>
          <w:szCs w:val="24"/>
        </w:rPr>
        <w:t xml:space="preserve"> </w:t>
      </w:r>
      <w:proofErr w:type="spellStart"/>
      <w:r w:rsidRPr="00994DC8">
        <w:rPr>
          <w:rFonts w:ascii="Times New Roman" w:hAnsi="Times New Roman"/>
          <w:sz w:val="24"/>
          <w:szCs w:val="24"/>
        </w:rPr>
        <w:t>Guarantees</w:t>
      </w:r>
      <w:proofErr w:type="spellEnd"/>
      <w:r w:rsidRPr="00994DC8">
        <w:rPr>
          <w:rFonts w:ascii="Times New Roman" w:hAnsi="Times New Roman"/>
          <w:sz w:val="24"/>
          <w:szCs w:val="24"/>
        </w:rPr>
        <w:t xml:space="preserve">”, ICC </w:t>
      </w:r>
      <w:proofErr w:type="spellStart"/>
      <w:r w:rsidRPr="00994DC8">
        <w:rPr>
          <w:rFonts w:ascii="Times New Roman" w:hAnsi="Times New Roman"/>
          <w:sz w:val="24"/>
          <w:szCs w:val="24"/>
        </w:rPr>
        <w:t>Publication</w:t>
      </w:r>
      <w:proofErr w:type="spellEnd"/>
      <w:r w:rsidRPr="00994DC8">
        <w:rPr>
          <w:rFonts w:ascii="Times New Roman" w:hAnsi="Times New Roman"/>
          <w:sz w:val="24"/>
          <w:szCs w:val="24"/>
        </w:rPr>
        <w:t xml:space="preserve"> No.758,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aktiem;</w:t>
      </w:r>
    </w:p>
    <w:p w:rsidR="00A15BE6" w:rsidRPr="00994DC8" w:rsidRDefault="00A15BE6" w:rsidP="00A15BE6">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 xml:space="preserve">Piedāvājuma nodrošinājums ir spēkā ne mazāk kā </w:t>
      </w:r>
      <w:r w:rsidR="001E741B">
        <w:rPr>
          <w:rFonts w:ascii="Times New Roman" w:hAnsi="Times New Roman"/>
          <w:sz w:val="24"/>
          <w:szCs w:val="24"/>
        </w:rPr>
        <w:t>3 (trīs</w:t>
      </w:r>
      <w:r>
        <w:rPr>
          <w:rFonts w:ascii="Times New Roman" w:hAnsi="Times New Roman"/>
          <w:sz w:val="24"/>
          <w:szCs w:val="24"/>
        </w:rPr>
        <w:t>)</w:t>
      </w:r>
      <w:r w:rsidRPr="00994DC8">
        <w:rPr>
          <w:rFonts w:ascii="Times New Roman" w:hAnsi="Times New Roman"/>
          <w:sz w:val="24"/>
          <w:szCs w:val="24"/>
        </w:rPr>
        <w:t xml:space="preserve"> </w:t>
      </w:r>
      <w:r w:rsidR="001E741B">
        <w:rPr>
          <w:rFonts w:ascii="Times New Roman" w:hAnsi="Times New Roman"/>
          <w:sz w:val="24"/>
          <w:szCs w:val="24"/>
        </w:rPr>
        <w:t>kalendārie mēneši</w:t>
      </w:r>
      <w:r w:rsidRPr="00994DC8">
        <w:rPr>
          <w:rFonts w:ascii="Times New Roman" w:hAnsi="Times New Roman"/>
          <w:sz w:val="24"/>
          <w:szCs w:val="24"/>
        </w:rPr>
        <w:t xml:space="preserve">, skaitot no piedāvājumu </w:t>
      </w:r>
      <w:r>
        <w:rPr>
          <w:rFonts w:ascii="Times New Roman" w:hAnsi="Times New Roman"/>
          <w:sz w:val="24"/>
          <w:szCs w:val="24"/>
        </w:rPr>
        <w:t>iesniegšanas pēdējās</w:t>
      </w:r>
      <w:r w:rsidRPr="00994DC8">
        <w:rPr>
          <w:rFonts w:ascii="Times New Roman" w:hAnsi="Times New Roman"/>
          <w:sz w:val="24"/>
          <w:szCs w:val="24"/>
        </w:rPr>
        <w:t xml:space="preserve"> dienas.</w:t>
      </w:r>
    </w:p>
    <w:p w:rsidR="00A15BE6" w:rsidRPr="00994DC8" w:rsidRDefault="00A15BE6" w:rsidP="00A15BE6">
      <w:pPr>
        <w:pStyle w:val="Sarakstarindkopa"/>
        <w:numPr>
          <w:ilvl w:val="0"/>
          <w:numId w:val="2"/>
        </w:numPr>
        <w:spacing w:after="0" w:line="240" w:lineRule="auto"/>
        <w:jc w:val="both"/>
        <w:rPr>
          <w:rFonts w:ascii="Times New Roman" w:hAnsi="Times New Roman"/>
          <w:sz w:val="24"/>
          <w:szCs w:val="24"/>
        </w:rPr>
      </w:pPr>
      <w:r w:rsidRPr="00994DC8">
        <w:rPr>
          <w:rFonts w:ascii="Times New Roman" w:hAnsi="Times New Roman"/>
          <w:sz w:val="24"/>
          <w:szCs w:val="24"/>
        </w:rPr>
        <w:t>Apdrošināšanas sabiedrības izsniegtajai polisei jāatbilst šādiem noteikumiem:</w:t>
      </w:r>
    </w:p>
    <w:p w:rsidR="00A15BE6" w:rsidRPr="00994DC8" w:rsidRDefault="00A15BE6" w:rsidP="00A15BE6">
      <w:pPr>
        <w:pStyle w:val="Style1"/>
        <w:rPr>
          <w:b w:val="0"/>
        </w:rPr>
      </w:pPr>
      <w:r w:rsidRPr="00994DC8">
        <w:rPr>
          <w:b w:val="0"/>
        </w:rPr>
        <w:t>2.1.apdrošinātājs apņemas samaksāt Pasūtītājam piedāvājuma nodrošinājuma summu, ja:</w:t>
      </w:r>
    </w:p>
    <w:p w:rsidR="00A15BE6" w:rsidRPr="00994DC8" w:rsidRDefault="00A15BE6" w:rsidP="00A15BE6">
      <w:pPr>
        <w:pStyle w:val="Sarakstarindkopa"/>
        <w:numPr>
          <w:ilvl w:val="2"/>
          <w:numId w:val="2"/>
        </w:numPr>
        <w:autoSpaceDE w:val="0"/>
        <w:autoSpaceDN w:val="0"/>
        <w:adjustRightInd w:val="0"/>
        <w:spacing w:after="100" w:line="240" w:lineRule="auto"/>
        <w:ind w:left="1418" w:hanging="567"/>
        <w:jc w:val="both"/>
        <w:rPr>
          <w:rFonts w:ascii="Times New Roman" w:eastAsiaTheme="minorHAnsi" w:hAnsi="Times New Roman"/>
          <w:sz w:val="24"/>
          <w:szCs w:val="24"/>
          <w:lang w:eastAsia="en-US"/>
        </w:rPr>
      </w:pPr>
      <w:r w:rsidRPr="00994DC8">
        <w:rPr>
          <w:rFonts w:ascii="Times New Roman" w:eastAsiaTheme="minorHAnsi" w:hAnsi="Times New Roman"/>
          <w:sz w:val="24"/>
          <w:szCs w:val="24"/>
          <w:lang w:eastAsia="en-US"/>
        </w:rPr>
        <w:t xml:space="preserve">pretendents atsauc savu piedāvājumu, kamēr ir spēkā piedāvājuma nodrošinājums; </w:t>
      </w:r>
    </w:p>
    <w:p w:rsidR="00A15BE6" w:rsidRPr="00994DC8" w:rsidRDefault="00A15BE6" w:rsidP="00A15BE6">
      <w:pPr>
        <w:pStyle w:val="Sarakstarindkopa"/>
        <w:numPr>
          <w:ilvl w:val="2"/>
          <w:numId w:val="2"/>
        </w:numPr>
        <w:autoSpaceDE w:val="0"/>
        <w:autoSpaceDN w:val="0"/>
        <w:adjustRightInd w:val="0"/>
        <w:spacing w:after="100" w:line="240" w:lineRule="auto"/>
        <w:ind w:left="1418" w:hanging="567"/>
        <w:jc w:val="both"/>
        <w:rPr>
          <w:rFonts w:ascii="Times New Roman" w:eastAsiaTheme="minorHAnsi" w:hAnsi="Times New Roman"/>
          <w:sz w:val="24"/>
          <w:szCs w:val="24"/>
          <w:lang w:eastAsia="en-US"/>
        </w:rPr>
      </w:pPr>
      <w:r w:rsidRPr="00994DC8">
        <w:rPr>
          <w:rFonts w:ascii="Times New Roman" w:eastAsiaTheme="minorHAnsi" w:hAnsi="Times New Roman"/>
          <w:sz w:val="24"/>
          <w:szCs w:val="24"/>
          <w:lang w:eastAsia="en-US"/>
        </w:rPr>
        <w:t>pretendents, kuram piešķirtas iepirk</w:t>
      </w:r>
      <w:r w:rsidR="008E73EC">
        <w:rPr>
          <w:rFonts w:ascii="Times New Roman" w:eastAsiaTheme="minorHAnsi" w:hAnsi="Times New Roman"/>
          <w:sz w:val="24"/>
          <w:szCs w:val="24"/>
          <w:lang w:eastAsia="en-US"/>
        </w:rPr>
        <w:t xml:space="preserve">uma līguma slēgšanas tiesības, </w:t>
      </w:r>
      <w:r w:rsidRPr="00994DC8">
        <w:rPr>
          <w:rFonts w:ascii="Times New Roman" w:eastAsiaTheme="minorHAnsi" w:hAnsi="Times New Roman"/>
          <w:sz w:val="24"/>
          <w:szCs w:val="24"/>
          <w:lang w:eastAsia="en-US"/>
        </w:rPr>
        <w:t>neparaksta iepirkuma līgumu pasūtītāja noteiktajā termiņā</w:t>
      </w:r>
    </w:p>
    <w:p w:rsidR="00A15BE6" w:rsidRPr="00994DC8" w:rsidRDefault="00A15BE6" w:rsidP="00A15BE6">
      <w:pPr>
        <w:pStyle w:val="Style1"/>
        <w:numPr>
          <w:ilvl w:val="1"/>
          <w:numId w:val="2"/>
        </w:numPr>
        <w:ind w:left="709" w:hanging="425"/>
        <w:rPr>
          <w:b w:val="0"/>
        </w:rPr>
      </w:pPr>
      <w:r w:rsidRPr="00994DC8">
        <w:rPr>
          <w:b w:val="0"/>
        </w:rPr>
        <w:t>apdrošināšanas polisei ir jābūt spēkā visu iepirkuma nolikumā noteikto termiņu</w:t>
      </w:r>
      <w:proofErr w:type="gramStart"/>
      <w:r w:rsidRPr="00994DC8">
        <w:rPr>
          <w:b w:val="0"/>
        </w:rPr>
        <w:t xml:space="preserve"> un</w:t>
      </w:r>
      <w:proofErr w:type="gramEnd"/>
      <w:r w:rsidRPr="00994DC8">
        <w:rPr>
          <w:b w:val="0"/>
        </w:rPr>
        <w:t xml:space="preserve"> tā ir izpildāma no piedāvājuma atvēršanas brīža, t.i., apdrošināšanas prēmijai pilnībā ir jābūt samaksātai uz piedāvājuma iesniegšanas brīdi, </w:t>
      </w:r>
    </w:p>
    <w:p w:rsidR="00A15BE6" w:rsidRPr="00994DC8" w:rsidRDefault="00A15BE6" w:rsidP="00A15BE6">
      <w:pPr>
        <w:pStyle w:val="Style1"/>
        <w:numPr>
          <w:ilvl w:val="1"/>
          <w:numId w:val="2"/>
        </w:numPr>
        <w:ind w:left="709" w:hanging="425"/>
        <w:rPr>
          <w:b w:val="0"/>
        </w:rPr>
      </w:pPr>
      <w:r w:rsidRPr="00994DC8">
        <w:rPr>
          <w:b w:val="0"/>
        </w:rPr>
        <w:t>polise no Pretendenta puses ir neatsaucama, tā ir pirmā pieprasījuma garantija;</w:t>
      </w:r>
    </w:p>
    <w:p w:rsidR="00A15BE6" w:rsidRPr="00994DC8" w:rsidRDefault="00A15BE6" w:rsidP="00A15BE6">
      <w:pPr>
        <w:pStyle w:val="Style1"/>
        <w:numPr>
          <w:ilvl w:val="1"/>
          <w:numId w:val="2"/>
        </w:numPr>
        <w:ind w:left="709" w:hanging="425"/>
        <w:rPr>
          <w:b w:val="0"/>
        </w:rPr>
      </w:pPr>
      <w:r w:rsidRPr="00994DC8">
        <w:rPr>
          <w:b w:val="0"/>
        </w:rPr>
        <w:t>Pasūtītājam nav jāpieprasa piedāvājuma nodrošinājuma summa no Pretendenta pirms prasības iesniegšanas apdrošinātājam;</w:t>
      </w:r>
    </w:p>
    <w:p w:rsidR="00A15BE6" w:rsidRPr="00A15BE6" w:rsidRDefault="00A15BE6" w:rsidP="00A15BE6">
      <w:pPr>
        <w:pStyle w:val="Style1"/>
        <w:numPr>
          <w:ilvl w:val="1"/>
          <w:numId w:val="2"/>
        </w:numPr>
        <w:ind w:left="709" w:hanging="425"/>
        <w:rPr>
          <w:b w:val="0"/>
        </w:rPr>
      </w:pPr>
      <w:r w:rsidRPr="00994DC8">
        <w:rPr>
          <w:b w:val="0"/>
        </w:rPr>
        <w:t xml:space="preserve">prasības un strīdi, kas saistīti ar šo apdrošināšanas polisi, izskatāmi Latvijas Republikas tiesā saskaņā ar Latvijas Republikas </w:t>
      </w:r>
      <w:r w:rsidRPr="00A15BE6">
        <w:rPr>
          <w:b w:val="0"/>
        </w:rPr>
        <w:t>normatīvajiem aktiem;</w:t>
      </w:r>
    </w:p>
    <w:p w:rsidR="001C0D6B" w:rsidRPr="00994DC8" w:rsidRDefault="001C0D6B" w:rsidP="001C0D6B">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 xml:space="preserve">Piedāvājuma nodrošinājums ir spēkā ne mazāk kā </w:t>
      </w:r>
      <w:r>
        <w:rPr>
          <w:rFonts w:ascii="Times New Roman" w:hAnsi="Times New Roman"/>
          <w:sz w:val="24"/>
          <w:szCs w:val="24"/>
        </w:rPr>
        <w:t>3 (trīs)</w:t>
      </w:r>
      <w:r w:rsidRPr="00994DC8">
        <w:rPr>
          <w:rFonts w:ascii="Times New Roman" w:hAnsi="Times New Roman"/>
          <w:sz w:val="24"/>
          <w:szCs w:val="24"/>
        </w:rPr>
        <w:t xml:space="preserve"> </w:t>
      </w:r>
      <w:r>
        <w:rPr>
          <w:rFonts w:ascii="Times New Roman" w:hAnsi="Times New Roman"/>
          <w:sz w:val="24"/>
          <w:szCs w:val="24"/>
        </w:rPr>
        <w:t>kalendārie mēneši</w:t>
      </w:r>
      <w:r w:rsidRPr="00994DC8">
        <w:rPr>
          <w:rFonts w:ascii="Times New Roman" w:hAnsi="Times New Roman"/>
          <w:sz w:val="24"/>
          <w:szCs w:val="24"/>
        </w:rPr>
        <w:t xml:space="preserve">, skaitot no piedāvājumu </w:t>
      </w:r>
      <w:r>
        <w:rPr>
          <w:rFonts w:ascii="Times New Roman" w:hAnsi="Times New Roman"/>
          <w:sz w:val="24"/>
          <w:szCs w:val="24"/>
        </w:rPr>
        <w:t>iesniegšanas pēdējās</w:t>
      </w:r>
      <w:r w:rsidRPr="00994DC8">
        <w:rPr>
          <w:rFonts w:ascii="Times New Roman" w:hAnsi="Times New Roman"/>
          <w:sz w:val="24"/>
          <w:szCs w:val="24"/>
        </w:rPr>
        <w:t xml:space="preserve"> dienas.</w:t>
      </w:r>
    </w:p>
    <w:p w:rsidR="00A15BE6" w:rsidRPr="00994DC8" w:rsidRDefault="00A15BE6" w:rsidP="00A15BE6">
      <w:pPr>
        <w:pStyle w:val="Sarakstarindkopa"/>
        <w:numPr>
          <w:ilvl w:val="0"/>
          <w:numId w:val="2"/>
        </w:numPr>
        <w:spacing w:after="0" w:line="240" w:lineRule="auto"/>
        <w:jc w:val="both"/>
        <w:rPr>
          <w:rFonts w:ascii="Times New Roman" w:hAnsi="Times New Roman"/>
          <w:sz w:val="24"/>
          <w:szCs w:val="24"/>
        </w:rPr>
      </w:pPr>
      <w:r w:rsidRPr="00A15BE6">
        <w:rPr>
          <w:rFonts w:ascii="Times New Roman" w:hAnsi="Times New Roman"/>
          <w:sz w:val="24"/>
          <w:szCs w:val="24"/>
        </w:rPr>
        <w:t>Ja Pretendents izvēlas veikt naudas summas</w:t>
      </w:r>
      <w:r w:rsidRPr="00994DC8">
        <w:rPr>
          <w:rFonts w:ascii="Times New Roman" w:hAnsi="Times New Roman"/>
          <w:sz w:val="24"/>
          <w:szCs w:val="24"/>
        </w:rPr>
        <w:t xml:space="preserve"> iemaksu Pasūtītāja norādītajā bankas kontā.</w:t>
      </w:r>
    </w:p>
    <w:p w:rsidR="003D40B5" w:rsidRDefault="00A15BE6" w:rsidP="00A15BE6">
      <w:pPr>
        <w:pStyle w:val="Style1"/>
        <w:numPr>
          <w:ilvl w:val="1"/>
          <w:numId w:val="2"/>
        </w:numPr>
        <w:ind w:left="709" w:hanging="425"/>
        <w:rPr>
          <w:b w:val="0"/>
        </w:rPr>
      </w:pPr>
      <w:r w:rsidRPr="003D40B5">
        <w:rPr>
          <w:b w:val="0"/>
        </w:rPr>
        <w:t>Pretendents reizē ar piedāvājumu iesniedz Pasūtītājam maksājuma dokumentu, kas apliecina maksājuma veikšanu Pasūtītāja norādītajā bankas kontā</w:t>
      </w:r>
    </w:p>
    <w:p w:rsidR="00A15BE6" w:rsidRPr="003D40B5" w:rsidRDefault="00A15BE6" w:rsidP="00A15BE6">
      <w:pPr>
        <w:pStyle w:val="Style1"/>
        <w:numPr>
          <w:ilvl w:val="1"/>
          <w:numId w:val="2"/>
        </w:numPr>
        <w:ind w:left="709" w:hanging="425"/>
        <w:rPr>
          <w:b w:val="0"/>
        </w:rPr>
      </w:pPr>
      <w:bookmarkStart w:id="0" w:name="_GoBack"/>
      <w:bookmarkEnd w:id="0"/>
      <w:r w:rsidRPr="003D40B5">
        <w:rPr>
          <w:b w:val="0"/>
        </w:rPr>
        <w:t>Pretendents nav tiesīgs saņemt atpakaļ iemaksāto piedāvājuma nodrošinājuma summu, ja:</w:t>
      </w:r>
    </w:p>
    <w:p w:rsidR="00A15BE6" w:rsidRPr="00994DC8" w:rsidRDefault="00A15BE6" w:rsidP="00A15BE6">
      <w:pPr>
        <w:pStyle w:val="Sarakstarindkopa"/>
        <w:numPr>
          <w:ilvl w:val="2"/>
          <w:numId w:val="2"/>
        </w:numPr>
        <w:autoSpaceDE w:val="0"/>
        <w:autoSpaceDN w:val="0"/>
        <w:adjustRightInd w:val="0"/>
        <w:spacing w:after="100" w:line="240" w:lineRule="auto"/>
        <w:ind w:left="993" w:hanging="28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tas</w:t>
      </w:r>
      <w:r w:rsidRPr="00994DC8">
        <w:rPr>
          <w:rFonts w:ascii="Times New Roman" w:eastAsiaTheme="minorHAnsi" w:hAnsi="Times New Roman"/>
          <w:sz w:val="24"/>
          <w:szCs w:val="24"/>
          <w:lang w:eastAsia="en-US"/>
        </w:rPr>
        <w:t xml:space="preserve"> atsauc savu piedāvājumu, kamēr ir spēkā piedāvājuma nodrošinājums; </w:t>
      </w:r>
    </w:p>
    <w:p w:rsidR="00A15BE6" w:rsidRPr="00994DC8" w:rsidRDefault="00A15BE6" w:rsidP="00A15BE6">
      <w:pPr>
        <w:pStyle w:val="Sarakstarindkopa"/>
        <w:numPr>
          <w:ilvl w:val="2"/>
          <w:numId w:val="2"/>
        </w:numPr>
        <w:autoSpaceDE w:val="0"/>
        <w:autoSpaceDN w:val="0"/>
        <w:adjustRightInd w:val="0"/>
        <w:spacing w:after="100" w:line="240" w:lineRule="auto"/>
        <w:ind w:left="1418" w:hanging="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tam</w:t>
      </w:r>
      <w:r w:rsidRPr="00994DC8">
        <w:rPr>
          <w:rFonts w:ascii="Times New Roman" w:eastAsiaTheme="minorHAnsi" w:hAnsi="Times New Roman"/>
          <w:sz w:val="24"/>
          <w:szCs w:val="24"/>
          <w:lang w:eastAsia="en-US"/>
        </w:rPr>
        <w:t xml:space="preserve"> piešķirtas iepirkum</w:t>
      </w:r>
      <w:r>
        <w:rPr>
          <w:rFonts w:ascii="Times New Roman" w:eastAsiaTheme="minorHAnsi" w:hAnsi="Times New Roman"/>
          <w:sz w:val="24"/>
          <w:szCs w:val="24"/>
          <w:lang w:eastAsia="en-US"/>
        </w:rPr>
        <w:t xml:space="preserve">a līguma slēgšanas tiesības, bet tas </w:t>
      </w:r>
      <w:r w:rsidRPr="00994DC8">
        <w:rPr>
          <w:rFonts w:ascii="Times New Roman" w:eastAsiaTheme="minorHAnsi" w:hAnsi="Times New Roman"/>
          <w:sz w:val="24"/>
          <w:szCs w:val="24"/>
          <w:lang w:eastAsia="en-US"/>
        </w:rPr>
        <w:t>neparaksta iepirkuma līgumu pasūtītāja noteiktajā termiņā</w:t>
      </w:r>
    </w:p>
    <w:p w:rsidR="00A15BE6" w:rsidRPr="00994DC8" w:rsidRDefault="00A15BE6" w:rsidP="00A15BE6">
      <w:pPr>
        <w:pStyle w:val="Style1"/>
        <w:numPr>
          <w:ilvl w:val="1"/>
          <w:numId w:val="2"/>
        </w:numPr>
        <w:ind w:left="851" w:hanging="425"/>
        <w:rPr>
          <w:b w:val="0"/>
        </w:rPr>
      </w:pPr>
      <w:r w:rsidRPr="00994DC8">
        <w:rPr>
          <w:b w:val="0"/>
        </w:rPr>
        <w:t>garantija ir spēkā visu iepirkuma nolikumā noteikto termiņu un tā ir izpildāma no piedāvājuma atvēršanas brīža, t.i., piedāvājuma nodrošinājumam pilnībā ir jābūt samaksātam uz piedāvājuma iesniegšanas brīdi, ko pierāda piedāvājumā iekļautais samaksu apliecinošais dokuments;</w:t>
      </w:r>
    </w:p>
    <w:p w:rsidR="00A15BE6" w:rsidRPr="00994DC8" w:rsidRDefault="00A15BE6" w:rsidP="00A15BE6">
      <w:pPr>
        <w:pStyle w:val="Style1"/>
        <w:numPr>
          <w:ilvl w:val="1"/>
          <w:numId w:val="2"/>
        </w:numPr>
        <w:ind w:left="851" w:hanging="425"/>
        <w:rPr>
          <w:b w:val="0"/>
        </w:rPr>
      </w:pPr>
      <w:r w:rsidRPr="00994DC8">
        <w:rPr>
          <w:b w:val="0"/>
        </w:rPr>
        <w:t>garantija no Pretendenta puses ir neatsaucama;</w:t>
      </w:r>
    </w:p>
    <w:p w:rsidR="00A15BE6" w:rsidRPr="00994DC8" w:rsidRDefault="00A15BE6" w:rsidP="00A15BE6">
      <w:pPr>
        <w:pStyle w:val="Style1"/>
        <w:numPr>
          <w:ilvl w:val="1"/>
          <w:numId w:val="2"/>
        </w:numPr>
        <w:ind w:left="851" w:hanging="425"/>
        <w:rPr>
          <w:b w:val="0"/>
        </w:rPr>
      </w:pPr>
      <w:r w:rsidRPr="00994DC8">
        <w:rPr>
          <w:b w:val="0"/>
        </w:rPr>
        <w:lastRenderedPageBreak/>
        <w:t>prasības un strīdi, kas saistīti ar piedāvājuma nodrošinājumu, izskatāmi Latvijas Republikas tiesā saskaņā ar Latvijas Republikas normatīvajiem tiesību aktiem;</w:t>
      </w:r>
    </w:p>
    <w:p w:rsidR="001C0D6B" w:rsidRPr="00994DC8" w:rsidRDefault="001C0D6B" w:rsidP="001C0D6B">
      <w:pPr>
        <w:pStyle w:val="Sarakstarindkopa"/>
        <w:numPr>
          <w:ilvl w:val="1"/>
          <w:numId w:val="2"/>
        </w:numPr>
        <w:autoSpaceDE w:val="0"/>
        <w:autoSpaceDN w:val="0"/>
        <w:adjustRightInd w:val="0"/>
        <w:spacing w:after="100" w:line="240" w:lineRule="auto"/>
        <w:ind w:left="851" w:hanging="567"/>
        <w:jc w:val="both"/>
        <w:rPr>
          <w:rFonts w:ascii="Times New Roman" w:hAnsi="Times New Roman"/>
          <w:sz w:val="24"/>
          <w:szCs w:val="24"/>
        </w:rPr>
      </w:pPr>
      <w:r w:rsidRPr="00994DC8">
        <w:rPr>
          <w:rFonts w:ascii="Times New Roman" w:hAnsi="Times New Roman"/>
          <w:sz w:val="24"/>
          <w:szCs w:val="24"/>
        </w:rPr>
        <w:t xml:space="preserve">Piedāvājuma nodrošinājums ir spēkā ne mazāk kā </w:t>
      </w:r>
      <w:r>
        <w:rPr>
          <w:rFonts w:ascii="Times New Roman" w:hAnsi="Times New Roman"/>
          <w:sz w:val="24"/>
          <w:szCs w:val="24"/>
        </w:rPr>
        <w:t>3 (trīs)</w:t>
      </w:r>
      <w:r w:rsidRPr="00994DC8">
        <w:rPr>
          <w:rFonts w:ascii="Times New Roman" w:hAnsi="Times New Roman"/>
          <w:sz w:val="24"/>
          <w:szCs w:val="24"/>
        </w:rPr>
        <w:t xml:space="preserve"> </w:t>
      </w:r>
      <w:r>
        <w:rPr>
          <w:rFonts w:ascii="Times New Roman" w:hAnsi="Times New Roman"/>
          <w:sz w:val="24"/>
          <w:szCs w:val="24"/>
        </w:rPr>
        <w:t>kalendārie mēneši</w:t>
      </w:r>
      <w:r w:rsidRPr="00994DC8">
        <w:rPr>
          <w:rFonts w:ascii="Times New Roman" w:hAnsi="Times New Roman"/>
          <w:sz w:val="24"/>
          <w:szCs w:val="24"/>
        </w:rPr>
        <w:t xml:space="preserve">, skaitot no piedāvājumu </w:t>
      </w:r>
      <w:r>
        <w:rPr>
          <w:rFonts w:ascii="Times New Roman" w:hAnsi="Times New Roman"/>
          <w:sz w:val="24"/>
          <w:szCs w:val="24"/>
        </w:rPr>
        <w:t>iesniegšanas pēdējās</w:t>
      </w:r>
      <w:r w:rsidRPr="00994DC8">
        <w:rPr>
          <w:rFonts w:ascii="Times New Roman" w:hAnsi="Times New Roman"/>
          <w:sz w:val="24"/>
          <w:szCs w:val="24"/>
        </w:rPr>
        <w:t xml:space="preserve"> dienas.</w:t>
      </w:r>
    </w:p>
    <w:p w:rsidR="00A15BE6" w:rsidRPr="00994DC8" w:rsidRDefault="00A15BE6" w:rsidP="00A15BE6">
      <w:pPr>
        <w:pStyle w:val="Sarakstarindkopa"/>
        <w:numPr>
          <w:ilvl w:val="0"/>
          <w:numId w:val="2"/>
        </w:numPr>
        <w:spacing w:after="0" w:line="240" w:lineRule="auto"/>
        <w:ind w:left="567" w:hanging="567"/>
        <w:jc w:val="both"/>
        <w:rPr>
          <w:rFonts w:ascii="Times New Roman" w:hAnsi="Times New Roman"/>
          <w:sz w:val="24"/>
          <w:szCs w:val="24"/>
        </w:rPr>
      </w:pPr>
      <w:r w:rsidRPr="00994DC8">
        <w:rPr>
          <w:rFonts w:ascii="Times New Roman" w:hAnsi="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A15BE6" w:rsidRPr="00994DC8" w:rsidRDefault="00A15BE6" w:rsidP="00A15BE6">
      <w:pPr>
        <w:pStyle w:val="Sarakstarindkopa"/>
        <w:numPr>
          <w:ilvl w:val="0"/>
          <w:numId w:val="2"/>
        </w:numPr>
        <w:spacing w:after="0" w:line="240" w:lineRule="auto"/>
        <w:jc w:val="both"/>
        <w:rPr>
          <w:rFonts w:ascii="Times New Roman" w:hAnsi="Times New Roman"/>
          <w:sz w:val="24"/>
          <w:szCs w:val="24"/>
        </w:rPr>
      </w:pPr>
      <w:r w:rsidRPr="00994DC8">
        <w:rPr>
          <w:rFonts w:ascii="Times New Roman" w:hAnsi="Times New Roman"/>
          <w:sz w:val="24"/>
          <w:szCs w:val="24"/>
        </w:rPr>
        <w:t>Nodrošinājuma devējs izmaksā Pasūtītājam piedāvājuma nodrošinājuma summu, ja:</w:t>
      </w:r>
    </w:p>
    <w:p w:rsidR="00A15BE6" w:rsidRPr="00994DC8" w:rsidRDefault="00A15BE6" w:rsidP="00A15BE6">
      <w:pPr>
        <w:pStyle w:val="Sarakstarindkopa"/>
        <w:numPr>
          <w:ilvl w:val="1"/>
          <w:numId w:val="2"/>
        </w:numPr>
        <w:spacing w:after="0" w:line="240" w:lineRule="auto"/>
        <w:ind w:left="1134" w:hanging="708"/>
        <w:jc w:val="both"/>
        <w:rPr>
          <w:rFonts w:ascii="Times New Roman" w:hAnsi="Times New Roman"/>
          <w:sz w:val="24"/>
          <w:szCs w:val="24"/>
        </w:rPr>
      </w:pPr>
      <w:r w:rsidRPr="00994DC8">
        <w:rPr>
          <w:rFonts w:ascii="Times New Roman" w:hAnsi="Times New Roman"/>
          <w:sz w:val="24"/>
          <w:szCs w:val="24"/>
        </w:rPr>
        <w:t>Pretendents atsauc savu piedāvājumu, kamēr ir spēkā piedāvājuma nodrošinājums,</w:t>
      </w:r>
    </w:p>
    <w:p w:rsidR="00A15BE6" w:rsidRPr="00994DC8" w:rsidRDefault="00A15BE6" w:rsidP="00A15BE6">
      <w:pPr>
        <w:pStyle w:val="Sarakstarindkopa"/>
        <w:numPr>
          <w:ilvl w:val="1"/>
          <w:numId w:val="2"/>
        </w:numPr>
        <w:spacing w:after="0" w:line="240" w:lineRule="auto"/>
        <w:ind w:left="1134" w:hanging="708"/>
        <w:jc w:val="both"/>
        <w:rPr>
          <w:rFonts w:ascii="Times New Roman" w:hAnsi="Times New Roman"/>
          <w:sz w:val="24"/>
          <w:szCs w:val="24"/>
        </w:rPr>
      </w:pPr>
      <w:r w:rsidRPr="00994DC8">
        <w:rPr>
          <w:rFonts w:ascii="Times New Roman" w:hAnsi="Times New Roman"/>
          <w:sz w:val="24"/>
          <w:szCs w:val="24"/>
        </w:rPr>
        <w:t>Pretendents, kura piedāvājums izraudzīts saskaņā ar piedāvājuma izvēles kritēriju, neparaksta iepirkuma līgumu Pasūtītāja noteiktajā termiņā.</w:t>
      </w:r>
    </w:p>
    <w:p w:rsidR="00A15BE6" w:rsidRPr="00994DC8" w:rsidRDefault="00A15BE6" w:rsidP="00A15BE6">
      <w:pPr>
        <w:ind w:left="1134" w:hanging="708"/>
        <w:jc w:val="right"/>
        <w:rPr>
          <w:rFonts w:ascii="Times New Roman" w:hAnsi="Times New Roman"/>
          <w:sz w:val="24"/>
          <w:szCs w:val="24"/>
        </w:rPr>
      </w:pPr>
    </w:p>
    <w:p w:rsidR="00A15BE6" w:rsidRPr="00994DC8" w:rsidRDefault="00A15BE6" w:rsidP="00A15BE6">
      <w:pPr>
        <w:ind w:left="567" w:hanging="567"/>
        <w:jc w:val="right"/>
        <w:rPr>
          <w:rFonts w:ascii="Times New Roman" w:hAnsi="Times New Roman"/>
          <w:sz w:val="24"/>
          <w:szCs w:val="24"/>
        </w:rPr>
      </w:pPr>
    </w:p>
    <w:p w:rsidR="00A15BE6" w:rsidRPr="00994DC8" w:rsidRDefault="00A15BE6" w:rsidP="00A15BE6">
      <w:pPr>
        <w:ind w:left="567" w:hanging="567"/>
        <w:jc w:val="right"/>
        <w:rPr>
          <w:rFonts w:ascii="Times New Roman" w:hAnsi="Times New Roman"/>
          <w:sz w:val="24"/>
          <w:szCs w:val="24"/>
        </w:rPr>
      </w:pPr>
    </w:p>
    <w:p w:rsidR="00A15BE6" w:rsidRPr="00994DC8" w:rsidRDefault="00A15BE6" w:rsidP="00A15BE6">
      <w:pPr>
        <w:ind w:left="567" w:hanging="567"/>
        <w:jc w:val="right"/>
        <w:rPr>
          <w:rFonts w:ascii="Times New Roman" w:hAnsi="Times New Roman"/>
          <w:sz w:val="24"/>
          <w:szCs w:val="24"/>
        </w:rPr>
      </w:pPr>
    </w:p>
    <w:p w:rsidR="00A15BE6" w:rsidRPr="00994DC8" w:rsidRDefault="00A15BE6" w:rsidP="00A15BE6">
      <w:pPr>
        <w:ind w:left="567" w:hanging="567"/>
        <w:jc w:val="right"/>
        <w:rPr>
          <w:rFonts w:ascii="Times New Roman" w:hAnsi="Times New Roman"/>
          <w:sz w:val="24"/>
          <w:szCs w:val="24"/>
        </w:rPr>
      </w:pPr>
    </w:p>
    <w:p w:rsidR="00A15BE6" w:rsidRPr="00994DC8" w:rsidRDefault="00A15BE6" w:rsidP="00A15BE6">
      <w:pPr>
        <w:ind w:left="567" w:hanging="567"/>
        <w:jc w:val="right"/>
        <w:rPr>
          <w:rFonts w:ascii="Times New Roman" w:hAnsi="Times New Roman"/>
          <w:sz w:val="24"/>
          <w:szCs w:val="24"/>
        </w:rPr>
      </w:pPr>
    </w:p>
    <w:p w:rsidR="00A15BE6" w:rsidRDefault="00A15BE6" w:rsidP="00A15BE6">
      <w:pPr>
        <w:ind w:left="567" w:hanging="567"/>
        <w:jc w:val="right"/>
        <w:rPr>
          <w:rFonts w:ascii="Times New Roman" w:hAnsi="Times New Roman"/>
          <w:sz w:val="24"/>
          <w:szCs w:val="24"/>
        </w:rPr>
      </w:pPr>
    </w:p>
    <w:p w:rsidR="00A15BE6" w:rsidRPr="00C3416B" w:rsidRDefault="00A15BE6" w:rsidP="00A15BE6">
      <w:pPr>
        <w:ind w:left="567" w:hanging="567"/>
        <w:jc w:val="right"/>
        <w:rPr>
          <w:rFonts w:ascii="Times New Roman" w:hAnsi="Times New Roman"/>
          <w:sz w:val="24"/>
          <w:szCs w:val="24"/>
        </w:rPr>
      </w:pPr>
    </w:p>
    <w:p w:rsidR="00A15BE6" w:rsidRPr="00C3416B" w:rsidRDefault="00A15BE6" w:rsidP="00A15BE6">
      <w:pPr>
        <w:spacing w:after="0" w:line="240" w:lineRule="auto"/>
        <w:jc w:val="both"/>
        <w:rPr>
          <w:rFonts w:ascii="Times New Roman" w:hAnsi="Times New Roman"/>
          <w:sz w:val="24"/>
          <w:szCs w:val="24"/>
        </w:rPr>
      </w:pPr>
    </w:p>
    <w:p w:rsidR="00683A0E" w:rsidRDefault="00683A0E"/>
    <w:sectPr w:rsidR="00683A0E" w:rsidSect="0083134A">
      <w:footerReference w:type="even" r:id="rId7"/>
      <w:footerReference w:type="default" r:id="rId8"/>
      <w:footerReference w:type="first" r:id="rId9"/>
      <w:pgSz w:w="11906" w:h="16838" w:code="9"/>
      <w:pgMar w:top="992" w:right="709"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4D" w:rsidRDefault="00F5624D">
      <w:pPr>
        <w:spacing w:after="0" w:line="240" w:lineRule="auto"/>
      </w:pPr>
      <w:r>
        <w:separator/>
      </w:r>
    </w:p>
  </w:endnote>
  <w:endnote w:type="continuationSeparator" w:id="0">
    <w:p w:rsidR="00F5624D" w:rsidRDefault="00F5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Courier10 TL"/>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8E73EC"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D257B" w:rsidRDefault="00F5624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8E73EC">
    <w:pPr>
      <w:pStyle w:val="Kjene"/>
      <w:jc w:val="center"/>
    </w:pPr>
    <w:r>
      <w:fldChar w:fldCharType="begin"/>
    </w:r>
    <w:r>
      <w:instrText>PAGE   \* MERGEFORMAT</w:instrText>
    </w:r>
    <w:r>
      <w:fldChar w:fldCharType="separate"/>
    </w:r>
    <w:r w:rsidR="00195851">
      <w:rPr>
        <w:noProof/>
      </w:rPr>
      <w:t>2</w:t>
    </w:r>
    <w:r>
      <w:rPr>
        <w:noProof/>
      </w:rPr>
      <w:fldChar w:fldCharType="end"/>
    </w:r>
  </w:p>
  <w:p w:rsidR="006D257B" w:rsidRDefault="00F5624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8E73EC">
    <w:pPr>
      <w:pStyle w:val="Kjene"/>
      <w:jc w:val="center"/>
    </w:pPr>
    <w:r>
      <w:fldChar w:fldCharType="begin"/>
    </w:r>
    <w:r>
      <w:instrText>PAGE   \* MERGEFORMAT</w:instrText>
    </w:r>
    <w:r>
      <w:fldChar w:fldCharType="separate"/>
    </w:r>
    <w:r>
      <w:rPr>
        <w:noProof/>
      </w:rPr>
      <w:t>35</w:t>
    </w:r>
    <w:r>
      <w:rPr>
        <w:noProof/>
      </w:rPr>
      <w:fldChar w:fldCharType="end"/>
    </w:r>
  </w:p>
  <w:p w:rsidR="006D257B" w:rsidRDefault="00F562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4D" w:rsidRDefault="00F5624D">
      <w:pPr>
        <w:spacing w:after="0" w:line="240" w:lineRule="auto"/>
      </w:pPr>
      <w:r>
        <w:separator/>
      </w:r>
    </w:p>
  </w:footnote>
  <w:footnote w:type="continuationSeparator" w:id="0">
    <w:p w:rsidR="00F5624D" w:rsidRDefault="00F5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5AD3"/>
    <w:multiLevelType w:val="multilevel"/>
    <w:tmpl w:val="DC5C679E"/>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B4"/>
    <w:rsid w:val="00140593"/>
    <w:rsid w:val="00195851"/>
    <w:rsid w:val="001C0D6B"/>
    <w:rsid w:val="001E741B"/>
    <w:rsid w:val="003D40B5"/>
    <w:rsid w:val="00683A0E"/>
    <w:rsid w:val="008E73EC"/>
    <w:rsid w:val="00A15BE6"/>
    <w:rsid w:val="00A75A8E"/>
    <w:rsid w:val="00A83AB0"/>
    <w:rsid w:val="00D46AB4"/>
    <w:rsid w:val="00F56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3C91"/>
  <w15:chartTrackingRefBased/>
  <w15:docId w15:val="{0890D3C6-8589-4B40-83A7-F2622D00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5BE6"/>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qFormat/>
    <w:rsid w:val="00A15BE6"/>
    <w:pPr>
      <w:ind w:left="720"/>
      <w:contextualSpacing/>
    </w:pPr>
  </w:style>
  <w:style w:type="character" w:customStyle="1" w:styleId="SarakstarindkopaRakstz">
    <w:name w:val="Saraksta rindkopa Rakstz."/>
    <w:aliases w:val="Strip Rakstz."/>
    <w:link w:val="Sarakstarindkopa"/>
    <w:rsid w:val="00A15BE6"/>
    <w:rPr>
      <w:rFonts w:ascii="Calibri" w:eastAsia="Times New Roman" w:hAnsi="Calibri" w:cs="Times New Roman"/>
      <w:lang w:eastAsia="lv-LV"/>
    </w:rPr>
  </w:style>
  <w:style w:type="paragraph" w:customStyle="1" w:styleId="Style1">
    <w:name w:val="Style1"/>
    <w:autoRedefine/>
    <w:rsid w:val="00A15BE6"/>
    <w:pPr>
      <w:spacing w:after="0" w:line="240" w:lineRule="auto"/>
      <w:ind w:left="709" w:hanging="425"/>
      <w:jc w:val="both"/>
    </w:pPr>
    <w:rPr>
      <w:rFonts w:ascii="Times New Roman" w:eastAsia="Calibri" w:hAnsi="Times New Roman" w:cs="Times New Roman"/>
      <w:b/>
      <w:bCs/>
      <w:sz w:val="24"/>
      <w:szCs w:val="24"/>
      <w:lang w:eastAsia="ar-SA"/>
    </w:rPr>
  </w:style>
  <w:style w:type="paragraph" w:styleId="Pamatteksts">
    <w:name w:val="Body Text"/>
    <w:aliases w:val="b,uvlaka 3,plain,plain Char,b1,uvlaka 31, uvlaka 3, uvlaka 31,Body Text Char1,Body Text Char Char,Body Text1"/>
    <w:basedOn w:val="Parasts"/>
    <w:link w:val="PamattekstsRakstz"/>
    <w:rsid w:val="00A15BE6"/>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A15BE6"/>
    <w:rPr>
      <w:rFonts w:ascii="RimTimes" w:eastAsia="Times New Roman" w:hAnsi="RimTimes" w:cs="Times New Roman"/>
      <w:sz w:val="24"/>
      <w:szCs w:val="20"/>
      <w:lang w:val="en-US"/>
    </w:rPr>
  </w:style>
  <w:style w:type="paragraph" w:styleId="Kjene">
    <w:name w:val="footer"/>
    <w:basedOn w:val="Parasts"/>
    <w:link w:val="KjeneRakstz"/>
    <w:unhideWhenUsed/>
    <w:rsid w:val="00A15BE6"/>
    <w:pPr>
      <w:tabs>
        <w:tab w:val="center" w:pos="4153"/>
        <w:tab w:val="right" w:pos="8306"/>
      </w:tabs>
      <w:spacing w:after="0" w:line="240" w:lineRule="auto"/>
    </w:pPr>
  </w:style>
  <w:style w:type="character" w:customStyle="1" w:styleId="KjeneRakstz">
    <w:name w:val="Kājene Rakstz."/>
    <w:basedOn w:val="Noklusjumarindkopasfonts"/>
    <w:link w:val="Kjene"/>
    <w:rsid w:val="00A15BE6"/>
    <w:rPr>
      <w:rFonts w:ascii="Calibri" w:eastAsia="Times New Roman" w:hAnsi="Calibri" w:cs="Times New Roman"/>
      <w:lang w:eastAsia="lv-LV"/>
    </w:rPr>
  </w:style>
  <w:style w:type="character" w:styleId="Lappusesnumurs">
    <w:name w:val="page number"/>
    <w:uiPriority w:val="99"/>
    <w:rsid w:val="00A15BE6"/>
    <w:rPr>
      <w:rFonts w:cs="Times New Roman"/>
    </w:rPr>
  </w:style>
  <w:style w:type="character" w:styleId="Hipersaite">
    <w:name w:val="Hyperlink"/>
    <w:rsid w:val="001E741B"/>
    <w:rPr>
      <w:b w:val="0"/>
      <w:bCs w:val="0"/>
      <w:color w:val="2425A9"/>
      <w:u w:val="single"/>
    </w:rPr>
  </w:style>
  <w:style w:type="paragraph" w:styleId="Galvene">
    <w:name w:val="header"/>
    <w:basedOn w:val="Parasts"/>
    <w:link w:val="GalveneRakstz"/>
    <w:rsid w:val="001E741B"/>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1E741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2604</Words>
  <Characters>1485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6</cp:revision>
  <dcterms:created xsi:type="dcterms:W3CDTF">2017-09-20T06:07:00Z</dcterms:created>
  <dcterms:modified xsi:type="dcterms:W3CDTF">2018-04-03T09:42:00Z</dcterms:modified>
</cp:coreProperties>
</file>